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28A" w:rsidRPr="000B25EE" w:rsidRDefault="0026528A" w:rsidP="0026528A">
      <w:pPr>
        <w:jc w:val="right"/>
        <w:rPr>
          <w:rFonts w:ascii="Times New Roman" w:hAnsi="Times New Roman"/>
          <w:sz w:val="24"/>
          <w:szCs w:val="20"/>
        </w:rPr>
      </w:pPr>
      <w:bookmarkStart w:id="0" w:name="_GoBack"/>
      <w:bookmarkEnd w:id="0"/>
      <w:r w:rsidRPr="000B25EE">
        <w:rPr>
          <w:rFonts w:ascii="Times New Roman" w:hAnsi="Times New Roman"/>
          <w:sz w:val="24"/>
          <w:szCs w:val="20"/>
        </w:rPr>
        <w:t>Таблица 12</w:t>
      </w:r>
    </w:p>
    <w:p w:rsidR="005774F0" w:rsidRDefault="004373E6" w:rsidP="004373E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</w:rPr>
      </w:pPr>
      <w:r w:rsidRPr="005774F0">
        <w:rPr>
          <w:rFonts w:ascii="Times New Roman" w:hAnsi="Times New Roman" w:cs="Times New Roman"/>
          <w:b/>
          <w:sz w:val="28"/>
        </w:rPr>
        <w:t xml:space="preserve">Паспорт </w:t>
      </w:r>
    </w:p>
    <w:p w:rsidR="004373E6" w:rsidRPr="005774F0" w:rsidRDefault="004373E6" w:rsidP="004373E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</w:rPr>
      </w:pPr>
      <w:r w:rsidRPr="005774F0">
        <w:rPr>
          <w:rFonts w:ascii="Times New Roman" w:hAnsi="Times New Roman" w:cs="Times New Roman"/>
          <w:b/>
          <w:sz w:val="28"/>
        </w:rPr>
        <w:t>инвестиционного проекта</w:t>
      </w:r>
    </w:p>
    <w:p w:rsidR="004373E6" w:rsidRPr="000B25EE" w:rsidRDefault="004373E6" w:rsidP="004373E6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12278"/>
        <w:gridCol w:w="1475"/>
      </w:tblGrid>
      <w:tr w:rsidR="004373E6" w:rsidRPr="000B25EE" w:rsidTr="005774F0">
        <w:trPr>
          <w:trHeight w:val="582"/>
          <w:tblHeader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№</w:t>
            </w:r>
            <w:r w:rsidRPr="000B25EE"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Данные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Комментарии</w:t>
            </w:r>
          </w:p>
        </w:tc>
      </w:tr>
      <w:tr w:rsidR="004373E6" w:rsidRPr="000B25EE" w:rsidTr="005774F0">
        <w:trPr>
          <w:trHeight w:val="346"/>
          <w:tblHeader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0B25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0B25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0B25EE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0B25EE">
              <w:rPr>
                <w:rFonts w:ascii="Times New Roman" w:hAnsi="Times New Roman" w:cs="Times New Roman"/>
              </w:rPr>
              <w:t>3</w:t>
            </w: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DB2923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Название инвестиционного проекта</w:t>
            </w:r>
            <w:r w:rsidR="00792FBF" w:rsidRPr="000B25E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792FBF" w:rsidRPr="000B25EE" w:rsidRDefault="00792FBF" w:rsidP="00DB29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«Создание судостроительного комплекса «Звезда»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792FBF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DB2923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Краткое описание инвестиционного проекта</w:t>
            </w:r>
            <w:r w:rsidR="00DB2923" w:rsidRPr="000B25E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DB2923" w:rsidRPr="000B25EE" w:rsidRDefault="00DB2923" w:rsidP="00DB2923">
            <w:pPr>
              <w:pStyle w:val="a5"/>
              <w:tabs>
                <w:tab w:val="left" w:pos="835"/>
              </w:tabs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Проект предусматривает строительство верфи крупнотоннажного судостроения «Судостроительный комплекс «Звезда» и освоение ее производственных мощностей.</w:t>
            </w:r>
          </w:p>
          <w:p w:rsidR="00DB2923" w:rsidRPr="000B25EE" w:rsidRDefault="00DB2923" w:rsidP="00DB2923">
            <w:pPr>
              <w:pStyle w:val="a5"/>
              <w:tabs>
                <w:tab w:val="left" w:pos="835"/>
              </w:tabs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Реализация Проекта разделена на 2 фазы:</w:t>
            </w:r>
          </w:p>
          <w:p w:rsidR="00DB2923" w:rsidRPr="000B25EE" w:rsidRDefault="00DB2923" w:rsidP="00DB2923">
            <w:pPr>
              <w:pStyle w:val="a"/>
              <w:tabs>
                <w:tab w:val="left" w:pos="835"/>
              </w:tabs>
              <w:spacing w:before="0"/>
              <w:ind w:firstLine="268"/>
              <w:rPr>
                <w:sz w:val="20"/>
                <w:szCs w:val="20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0"/>
                <w:shd w:val="clear" w:color="auto" w:fill="auto"/>
                <w:lang w:val="ru-RU" w:eastAsia="ru-RU"/>
              </w:rPr>
              <w:t>Инвестиционная фаза - строительство верфи и подготовка ее к операционной деятельности;</w:t>
            </w:r>
          </w:p>
          <w:p w:rsidR="00DB2923" w:rsidRPr="000B25EE" w:rsidRDefault="00DB2923" w:rsidP="00DB2923">
            <w:pPr>
              <w:pStyle w:val="a"/>
              <w:tabs>
                <w:tab w:val="left" w:pos="835"/>
              </w:tabs>
              <w:spacing w:before="0"/>
              <w:ind w:firstLine="268"/>
              <w:rPr>
                <w:sz w:val="20"/>
                <w:szCs w:val="20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0"/>
                <w:shd w:val="clear" w:color="auto" w:fill="auto"/>
                <w:lang w:val="ru-RU" w:eastAsia="ru-RU"/>
              </w:rPr>
              <w:t>Эксплуатационная фаза - запуск производственных мощностей и выпуск продукции.</w:t>
            </w:r>
          </w:p>
          <w:p w:rsidR="00DB2923" w:rsidRPr="000B25EE" w:rsidRDefault="00DB2923" w:rsidP="00DB2923">
            <w:pPr>
              <w:pStyle w:val="a5"/>
              <w:tabs>
                <w:tab w:val="left" w:pos="835"/>
              </w:tabs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Строительство верфи предполагает возведение всех производственных объектов и объектов инфраструктуры, а также приобретение производственных технологий, необходимых для оптимального функционирования созданного предприятия.</w:t>
            </w:r>
          </w:p>
          <w:p w:rsidR="00DB2923" w:rsidRPr="000B25EE" w:rsidRDefault="00DB2923" w:rsidP="00DB2923">
            <w:pPr>
              <w:pStyle w:val="a5"/>
              <w:tabs>
                <w:tab w:val="left" w:pos="835"/>
              </w:tabs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По типу Проект представляет собой создание производства с нуля с реконструкцией некоторых мощностей, присутствующих на территории строительства верфи.</w:t>
            </w:r>
          </w:p>
          <w:p w:rsidR="00DB2923" w:rsidRPr="000B25EE" w:rsidRDefault="00DB2923" w:rsidP="00DB2923">
            <w:pPr>
              <w:pStyle w:val="a5"/>
              <w:tabs>
                <w:tab w:val="left" w:pos="835"/>
              </w:tabs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 xml:space="preserve">Инвестиционная фаза будет реализована в 3 очереди строительства, каждая из которых подразумевает постепенное расширение продуктового ряда производимой продукции. Окончание инвестиционной фазы запланировано в 2024 г. </w:t>
            </w:r>
          </w:p>
          <w:p w:rsidR="00792FBF" w:rsidRPr="000B25EE" w:rsidRDefault="00DB2923" w:rsidP="00DB2923">
            <w:pPr>
              <w:pStyle w:val="a5"/>
              <w:tabs>
                <w:tab w:val="left" w:pos="835"/>
              </w:tabs>
              <w:spacing w:before="0"/>
              <w:ind w:firstLine="268"/>
              <w:rPr>
                <w:sz w:val="20"/>
                <w:szCs w:val="20"/>
                <w:lang w:val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Поэтапный ввод в эксплуатацию всего комплекса производств судостроительного комплекса будет завершен в конце 2024 года. При этом ввод в эксплуатацию основных производственных мощностей первой очереди строительства запланирован на 2016 год.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DB2923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Участники инвестиционного проекта</w:t>
            </w:r>
            <w:r w:rsidR="00DB2923" w:rsidRPr="000B25E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DB2923" w:rsidRPr="000B25EE" w:rsidRDefault="00DB2923" w:rsidP="00DB2923">
            <w:pPr>
              <w:pStyle w:val="a5"/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 xml:space="preserve">ОАО «НК «Роснефть» и «Газпромбанк» (АО) в лице совместного предприятия ЗАО «Современные Технологии Судостроения» являются инициаторами Проекта, а вместе с ОАО «Роснефтегаз» - инвесторами Проекта. </w:t>
            </w:r>
          </w:p>
          <w:p w:rsidR="00DB2923" w:rsidRPr="000B25EE" w:rsidRDefault="00DB2923" w:rsidP="00DB2923">
            <w:pPr>
              <w:pStyle w:val="a5"/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ОАО «ДЦСС» (Дальневосточный центр судостроения и судоремонта) – оператор проекта, включает в себя судостроительные и судоремонтные заводы в Дальневосточном федеральном округе, в том числе на Камчатке, в Хабаровском и Приморском краях.</w:t>
            </w:r>
          </w:p>
          <w:p w:rsidR="00DB2923" w:rsidRPr="000B25EE" w:rsidRDefault="00DB2923" w:rsidP="00DB2923">
            <w:pPr>
              <w:pStyle w:val="a5"/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ОАО «ДВЗ «Звезда» (Дальневосточный завод «Звезда») – заказчик-застройщик, является ведущим предприятием по ремонту подводных лодок Тихоокеанского флота и единственное на Дальнем Востоке, специализирующееся на ремонте, переоборудовании и модернизации кораблей атомных подводных ракетоносцев.</w:t>
            </w:r>
          </w:p>
          <w:p w:rsidR="00DB2923" w:rsidRPr="000B25EE" w:rsidRDefault="00CB0DD5" w:rsidP="00DB2923">
            <w:pPr>
              <w:pStyle w:val="a5"/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lastRenderedPageBreak/>
              <w:t xml:space="preserve">ОАО «ЦТСС» </w:t>
            </w:r>
            <w:r w:rsidR="00DB2923" w:rsidRPr="000B25EE">
              <w:rPr>
                <w:rFonts w:eastAsia="Times New Roman"/>
                <w:sz w:val="20"/>
                <w:szCs w:val="20"/>
                <w:lang w:val="ru-RU" w:eastAsia="ru-RU"/>
              </w:rPr>
              <w:t xml:space="preserve">(Центр технологии судостроения и судоремонта) – генеральный проектировщик, многопрофильный научно-производственный комплекс, ведущий технологический центр судостроения России, одна из крупнейших научных организаций Санкт-Петербурга. </w:t>
            </w:r>
          </w:p>
          <w:p w:rsidR="00DB2923" w:rsidRPr="000B25EE" w:rsidRDefault="00DB2923" w:rsidP="00DB2923">
            <w:pPr>
              <w:pStyle w:val="a5"/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ФГУП «Крыловский государственный научный центр» – технический консультант, - один из крупнейших мировых исследовательских центров в области кораблестроения и проектирования.</w:t>
            </w:r>
          </w:p>
          <w:p w:rsidR="00DB2923" w:rsidRPr="000B25EE" w:rsidRDefault="00DB2923" w:rsidP="00DB2923">
            <w:pPr>
              <w:pStyle w:val="a5"/>
              <w:spacing w:before="0"/>
              <w:ind w:firstLine="268"/>
              <w:rPr>
                <w:sz w:val="20"/>
                <w:szCs w:val="20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IMG (Ingenieurtechnik und Maschinenbau GmbH) – технический консультант, одно из ведущих немецких предприятий, специализирующееся на проектировании и выпуске производственных систем для судостроительной промышленности.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599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5774F0" w:rsidP="00DB2923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Ц</w:t>
            </w:r>
            <w:r w:rsidR="004373E6" w:rsidRPr="000B25EE">
              <w:rPr>
                <w:rFonts w:ascii="Times New Roman" w:hAnsi="Times New Roman"/>
                <w:b/>
                <w:sz w:val="20"/>
                <w:szCs w:val="20"/>
              </w:rPr>
              <w:t>ели инвестиционного проекта</w:t>
            </w:r>
            <w:r w:rsidR="00DB2923" w:rsidRPr="000B25E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DB2923" w:rsidRPr="000B25EE" w:rsidRDefault="00DB2923" w:rsidP="00DB2923">
            <w:pPr>
              <w:pStyle w:val="a"/>
              <w:rPr>
                <w:sz w:val="20"/>
                <w:szCs w:val="20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0"/>
                <w:shd w:val="clear" w:color="auto" w:fill="auto"/>
                <w:lang w:val="ru-RU" w:eastAsia="ru-RU"/>
              </w:rPr>
              <w:t>обеспечение национальной безопасности и государственных интересов  в области реализации Морской Доктрины Российской Федерации;</w:t>
            </w:r>
          </w:p>
          <w:p w:rsidR="00DB2923" w:rsidRPr="000B25EE" w:rsidRDefault="00DB2923" w:rsidP="00DB2923">
            <w:pPr>
              <w:pStyle w:val="a"/>
              <w:rPr>
                <w:sz w:val="20"/>
                <w:szCs w:val="20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0"/>
                <w:shd w:val="clear" w:color="auto" w:fill="auto"/>
                <w:lang w:val="ru-RU" w:eastAsia="ru-RU"/>
              </w:rPr>
              <w:t>обеспечение полноценного участия российской промышленности в реализации проектов на континентальном шельфе РФ;</w:t>
            </w:r>
          </w:p>
          <w:p w:rsidR="00DB2923" w:rsidRPr="000B25EE" w:rsidRDefault="00DB2923" w:rsidP="00DB2923">
            <w:pPr>
              <w:pStyle w:val="a"/>
              <w:rPr>
                <w:sz w:val="20"/>
                <w:szCs w:val="20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0"/>
                <w:shd w:val="clear" w:color="auto" w:fill="auto"/>
                <w:lang w:val="ru-RU" w:eastAsia="ru-RU"/>
              </w:rPr>
              <w:t>повышение конкурентоспособности и бюджетной эффективности судостроительной отрасли РФ;</w:t>
            </w:r>
          </w:p>
          <w:p w:rsidR="00DB2923" w:rsidRPr="000B25EE" w:rsidRDefault="00DB2923" w:rsidP="00DB2923">
            <w:pPr>
              <w:pStyle w:val="a"/>
              <w:rPr>
                <w:sz w:val="20"/>
                <w:szCs w:val="20"/>
              </w:rPr>
            </w:pPr>
            <w:r w:rsidRPr="000B25EE">
              <w:rPr>
                <w:sz w:val="20"/>
                <w:szCs w:val="20"/>
                <w:shd w:val="clear" w:color="auto" w:fill="auto"/>
                <w:lang w:val="ru-RU" w:eastAsia="ru-RU"/>
              </w:rPr>
              <w:t>обеспечение экономических интересов Российской Федерации посредством создания современного флота.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44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Вклад инвестиционного проекта в достижение целей отраслевой стратегии, стратегии развития региона и целевых показателей государственных программ Российской Федерации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5"/>
              </w:numPr>
              <w:spacing w:after="0"/>
              <w:ind w:left="425" w:hanging="425"/>
              <w:jc w:val="both"/>
              <w:rPr>
                <w:rFonts w:ascii="Times New Roman" w:hAnsi="Times New Roman"/>
                <w:spacing w:val="-4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pacing w:val="-4"/>
                <w:sz w:val="20"/>
                <w:szCs w:val="28"/>
              </w:rPr>
              <w:t xml:space="preserve">Концепция проекта «Судостроительный комплекс «Звезда» сформирована в соответствии с ключевыми ориентирами </w:t>
            </w:r>
            <w:r w:rsidRPr="000B25EE">
              <w:rPr>
                <w:rFonts w:ascii="Times New Roman" w:hAnsi="Times New Roman"/>
                <w:b/>
                <w:i/>
                <w:spacing w:val="-4"/>
                <w:sz w:val="20"/>
                <w:szCs w:val="28"/>
              </w:rPr>
              <w:t xml:space="preserve">Стратегии развития судостроительной промышленности до 2020 года, </w:t>
            </w:r>
            <w:r w:rsidRPr="000B25EE">
              <w:rPr>
                <w:rFonts w:ascii="Times New Roman" w:hAnsi="Times New Roman"/>
                <w:spacing w:val="-4"/>
                <w:sz w:val="20"/>
                <w:szCs w:val="28"/>
              </w:rPr>
              <w:t xml:space="preserve">такими как: 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топливно-энергетическая безопасность (поставка уникальных плавсооружений и необходимого технического флота для разведки и добычи углеводородного сырья на Арктическом и Дальневосточном шельфе России);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транспортная безопасность (обеспечение морского и речного флотов необходимым тоннажем для грузовых и пассажирских перевозок силами национальных перевозчиков);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продовольственная безопасность (обеспечение необходимым тоннажем рыболовного флота);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обеспечение мобилизационной готовности и устойчивого функционирования экономики в чрезвычайных ситуациях;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ликвидация критического научно-технического отставания от промышленно развитых стран мира; 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формирование в судостроительной промышленности рыночно-ориентированных бизнес-структур нового поколения, обладающих потенциалом саморазвития.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Строительство новых судостроительных комплексов также предусматривается Стратегией развития судостроительной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 xml:space="preserve"> промышленности на период до 2020 года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>. Основными целями второго и третьего  этапов данной стратегии являются: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начало освоения производства крупнотоннажных судов различного назначения;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lastRenderedPageBreak/>
              <w:t>расширение  создания судов и морской техники для государственных нужд, включая создание новых технических средств и передовых технологий для изучения и освоения минеральных ресурсов российского шельфа и Мирового океана.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5"/>
              </w:numPr>
              <w:tabs>
                <w:tab w:val="left" w:pos="0"/>
                <w:tab w:val="left" w:pos="426"/>
              </w:tabs>
              <w:spacing w:after="0"/>
              <w:ind w:left="425" w:hanging="425"/>
              <w:jc w:val="both"/>
              <w:rPr>
                <w:rFonts w:ascii="Times New Roman" w:hAnsi="Times New Roman"/>
                <w:sz w:val="20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Мероприятие «Развитие производственных мощностей по судостроению на Дальнем Востоке»  входит </w:t>
            </w:r>
            <w:r w:rsidRPr="000B25EE">
              <w:rPr>
                <w:rFonts w:ascii="Times New Roman" w:hAnsi="Times New Roman"/>
                <w:i/>
                <w:sz w:val="20"/>
                <w:szCs w:val="28"/>
              </w:rPr>
              <w:t xml:space="preserve">в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Перечень основных мероприятий государственной программы Российской Федерации «Развитие судостроения на 2013 - 2030 годы», подпрограмма  «Развитие производственных мощностей гражданского судостроения и материально-технической базы отрасли».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Создание  судостроительного комплекса на ДВ РФ тесно связано с наиболее приоритетными направлениями развития  российского судостроения согласно  </w:t>
            </w:r>
            <w:r w:rsidRPr="000B25EE">
              <w:rPr>
                <w:rFonts w:ascii="Times New Roman" w:hAnsi="Times New Roman"/>
                <w:b/>
                <w:sz w:val="20"/>
                <w:szCs w:val="28"/>
              </w:rPr>
              <w:t xml:space="preserve">ГП  Российской Федерации «Развитие судостроения на 2013 - 2030 годы», 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>а именно</w:t>
            </w:r>
            <w:r w:rsidRPr="000B25E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обеспечением эффективной эксплуатации Северного морского пути, превращением Северного морского пути в национальную транзитную магистраль. Решение такой комплексной задачи требует, в первую очередь, строительства ледокольного флота и транспортных судов ледового плавания, а также новых технических решений, позволяющих рентабельно перевозить транзитные грузы;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эффективным и экологически безопасным освоением морских месторождений углеводородов на континентальном шельфе в Арктической зоне Российской Федерации. Основной технической проблемой, которая должна быть решена в ближайшие десятилетия, являются производство и доставка конечного продукта переработки углеводородного сырья по конкурентным ценам. К этой общегосударственной задаче примыкает задача добычи морских биологических ресурсов, что напрямую связано с обеспечением продовольственной безопасности Российской Федерации.</w:t>
            </w:r>
          </w:p>
          <w:p w:rsidR="00FD16CC" w:rsidRPr="000B25EE" w:rsidRDefault="00FD16CC" w:rsidP="00FD16CC">
            <w:pPr>
              <w:tabs>
                <w:tab w:val="left" w:pos="0"/>
                <w:tab w:val="left" w:pos="426"/>
              </w:tabs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Цели Проекта соответствуют главной цели 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Государственной программы Российской Федерации «Развитие судостроения на 2013 - 2030 годы»</w:t>
            </w:r>
            <w:r w:rsidRPr="000B25EE">
              <w:rPr>
                <w:rFonts w:ascii="Times New Roman" w:hAnsi="Times New Roman"/>
                <w:i/>
                <w:sz w:val="20"/>
                <w:szCs w:val="28"/>
              </w:rPr>
              <w:t>,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а именно повышению конкурентоспособности судостроительной отрасли Российской Федерации в мире и обеспечению частичного удовлетворения потребностей государства и отечественного бизнеса в современной продукции судостроения.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В вышеуказанной программе государство  ставит задачу обеспечения эффективности работы судостроительной отрасли и увеличения инвестиционной привлекательности отечественного судостроения, включая достижение уровня передовых стран по качеству судостроительной продукции, чему в немалой степени будет способствовать развитие новых судостроительных мощностей на Дальнем Востоке РФ.</w:t>
            </w:r>
          </w:p>
          <w:p w:rsidR="00FD16CC" w:rsidRPr="000B25EE" w:rsidRDefault="00FD16CC" w:rsidP="00FD16CC">
            <w:pPr>
              <w:tabs>
                <w:tab w:val="left" w:pos="0"/>
                <w:tab w:val="left" w:pos="426"/>
              </w:tabs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Стратегия реализации Проекта «Создание судостроительного комплекса «Звезда» коррелирует со следующими приоритетными направлениями государственной политики в области развития судостроительной промышленности: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создание конкурентоспособной специализированной морской техники, в том числе судов и плавательных средств для освоения континентального шельфа и Северного морского пути, высокотехнологичных среднетоннажных транспортных судов и судов обеспечения, высокотехнологичных рыбопромысловых судов, морских и речных научно-исследовательских и научно-экспедиционных судов;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lastRenderedPageBreak/>
              <w:t>дальнейшее развитие и оптимизация проведенных институциональных преобразований в отрасли, переход к формированию кластерной системы развития и построения отрасли, развитию интегрированных структур по выпуску судового оборудования, развитие лизинга морской рыбопромысловой и речной техники.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Реализация проекта СК «Звезда» будет способствовать достижению Целевых  индикаторов  и показателей 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ГП  Российской Федерации «Развитие судостроения на 2013 - 2030 годы»</w:t>
            </w:r>
            <w:r w:rsidRPr="000B25EE">
              <w:rPr>
                <w:rFonts w:ascii="Times New Roman" w:hAnsi="Times New Roman"/>
                <w:i/>
                <w:sz w:val="20"/>
                <w:szCs w:val="28"/>
              </w:rPr>
              <w:t>,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а именно: 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увеличению объема выпуска гражданской продукции российского судостроения; 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росту производительности труда в гражданской сфере судостроительной промышленности;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увеличению доли отечественного гражданского судостроения на мировом рынке;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увеличению доли обновленных и новых основных производственных фондов судостроительных организаций отрасли (верфей). 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Строящийся «Судостроительный комплекс «Звезда» полностью соответствует ожидаемым результатам действия  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 xml:space="preserve">ГП  Российской Федерации «Развитие судостроения на 2013 - 2030 годы», 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>касающимся: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создания производственных мощностей, обеспечивающих строительство, ремонт и модернизацию современных крупнотоннажных судов и морской техники; 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создания необходимого задела для увеличения в структуре судостроения доли высокотехнологичной продукции.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5"/>
              </w:numPr>
              <w:spacing w:after="0"/>
              <w:ind w:left="425" w:hanging="425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В число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принципов национальной морской политики РФ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входят: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eastAsiaTheme="minorHAnsi" w:hAnsi="Times New Roman"/>
                <w:sz w:val="20"/>
                <w:szCs w:val="28"/>
                <w:lang w:eastAsia="en-US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концентрация усилий по строительству и развитию инфраструктуры российского флота на территориях субъектов Российской Федерации, традиционно связанных с мореплаванием, унификация этой инфраструктуры для военных и хозяйственных нужд;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поддержание российского флота в готовности к решению стоящих перед ним задач, а также мобилизационной готовности торгового, рыбопромыслового, научно-исследовательского и других специализированных флотов.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b/>
                <w:bCs/>
                <w:i/>
                <w:sz w:val="20"/>
                <w:szCs w:val="28"/>
              </w:rPr>
              <w:t>Морская доктрина РФ  на период до 2020 года</w:t>
            </w:r>
            <w:r w:rsidRPr="000B25EE">
              <w:rPr>
                <w:rFonts w:ascii="Times New Roman" w:hAnsi="Times New Roman"/>
                <w:b/>
                <w:bCs/>
                <w:sz w:val="20"/>
                <w:szCs w:val="28"/>
              </w:rPr>
              <w:t xml:space="preserve"> </w:t>
            </w:r>
            <w:r w:rsidRPr="000B25EE">
              <w:rPr>
                <w:rFonts w:ascii="Times New Roman" w:hAnsi="Times New Roman"/>
                <w:bCs/>
                <w:sz w:val="20"/>
                <w:szCs w:val="28"/>
              </w:rPr>
              <w:t xml:space="preserve">относит 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задачи  строительства флота и  создание условий, стимулирующих строительство флота на отечественных предприятиях к числу приоритетных задач государства. 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Одним из ключевых направлений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Морской Доктрины РФ на период до 2020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года является разработка известных месторождений и интенсивная разведка нефти и природного газа на континентальном шельфе Российской Федерации, что невозможно осуществить без строительства современной морской техники на территории Российской Федерации.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5"/>
              </w:numPr>
              <w:spacing w:after="0"/>
              <w:ind w:left="425" w:hanging="425"/>
              <w:jc w:val="both"/>
              <w:rPr>
                <w:rFonts w:ascii="Times New Roman" w:eastAsiaTheme="minorHAnsi" w:hAnsi="Times New Roman"/>
                <w:sz w:val="20"/>
                <w:szCs w:val="28"/>
                <w:lang w:eastAsia="en-US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Увеличение объемов строительства новых судов при запуске в работу нового судостроительного комплекса «Звезда»  приведет к эффектам, описанным в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ФЗ «О внесении изменений в отдельные законодательные акты Российской Федерации в связи с реализацией мер по поддержке российского судостроения и судоходства»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- к увеличению налоговых поступлений в бюджетную систему России от таких отраслей экономики как судостроение, металлургия, машиностроение, химическая промышленность, перевозка грузов, содержание речной инфраструктуры.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lastRenderedPageBreak/>
              <w:t>В социально-экономической сфере эксплуатация нового судостроительного комплекса будет способствовать сохранению и расширению числа рабочих мест, повышению спроса на квалифицированные научно-технические кадры, улучшение их возрастной структуры, а так же повышению производительности труда и уровня его оплаты.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5"/>
              </w:numPr>
              <w:spacing w:after="0"/>
              <w:ind w:left="425" w:hanging="425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Проект Судостроительного комплекса «Звезда» является ключевым  этапом развития судостроения на Дальнем Востоке. В целях развития судостроения и повышения эффективности освоения континентального шельфа Российской Федерации в районах Дальнего Востока и Арктики  21 июля 2014г подписан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Указ Президента РФ «О Развития судостроения на Дальнем Востоке»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>,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 xml:space="preserve"> 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12 сентября 2014 года подписано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Распоряжение Правительства №1804-Р «О развитии судостроения на Дальнем Востоке».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5"/>
              </w:numPr>
              <w:spacing w:after="0"/>
              <w:ind w:left="425" w:hanging="425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Стратегия социально-экономического развития Дальнего Востока и Байкальского региона на период до 2025 года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 в качестве одного из ведущих направлений развития ДФО, планируемых к реализации в 2010-2020 годах и на период до 2025 года,   выделяет  развитие производственного комплекса открытого акционерного общества «Дальневосточный завод «Звезда» и</w:t>
            </w:r>
            <w:r w:rsidRPr="000B25EE">
              <w:rPr>
                <w:rFonts w:ascii="Times New Roman" w:hAnsi="Times New Roman"/>
                <w:i/>
                <w:color w:val="000000"/>
                <w:sz w:val="20"/>
                <w:szCs w:val="28"/>
              </w:rPr>
              <w:t xml:space="preserve"> </w:t>
            </w:r>
            <w:r w:rsidRPr="000B25EE">
              <w:rPr>
                <w:rFonts w:ascii="Times New Roman" w:hAnsi="Times New Roman"/>
                <w:color w:val="000000"/>
                <w:sz w:val="20"/>
                <w:szCs w:val="28"/>
              </w:rPr>
              <w:t>обозначает следующие перспективы развития судостроения  на Дальнем Востоке – «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>Приморский край станет одним из центров производства судов различных классов и оборудования для освоения континентального шельфа.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Данная стратегия является концептуальной схемой, концентрирующейся на ключевых конкурентных преимуществах края, а также на механизмах реализации этих преимуществ. Стратегия задает общие ориентиры будущего развития социальной и экономической системы для органов государственной власти края, бизнеса, потенциальных инвесторов, является базой для  разработки планов, программ, проектов, прогнозов. Реализация проекта соответствует данным ориентирам.</w:t>
            </w:r>
          </w:p>
          <w:p w:rsidR="00512D5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«Судостроительный кластер на Дальнем Востоке должен стать крупным производственным центром, который будет выпускать и обслуживать суда разных классов, прежде всего для нашего внутреннего рынка. Такой запрос со стороны отечественных покупателей есть, а значит, новые судостроительные мощности будут востребованы»</w:t>
            </w:r>
            <w:r w:rsidRPr="000B25EE">
              <w:rPr>
                <w:rFonts w:ascii="Times New Roman" w:hAnsi="Times New Roman"/>
                <w:b/>
                <w:sz w:val="20"/>
                <w:szCs w:val="28"/>
              </w:rPr>
              <w:t xml:space="preserve"> -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 xml:space="preserve">из выступления Президента РФ В. В. Путина на </w:t>
            </w:r>
            <w:r w:rsidRPr="000B25EE">
              <w:rPr>
                <w:rFonts w:ascii="Times New Roman" w:hAnsi="Times New Roman"/>
                <w:b/>
                <w:bCs/>
                <w:i/>
                <w:sz w:val="20"/>
                <w:szCs w:val="28"/>
              </w:rPr>
              <w:t>совещании по вопросу создания судостроительного кластера на базе ОАО «Дальневосточный завод «Звезда» в г.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 xml:space="preserve"> Владивостоке, 13 ноября  2014г.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Оценка потенциального спроса и (или) объема рынка на продукцию (услуги)</w:t>
            </w:r>
            <w:r w:rsidR="00096CF6" w:rsidRPr="000B25E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096CF6" w:rsidRPr="000B25EE" w:rsidRDefault="00096CF6" w:rsidP="00096CF6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Для проекта создания Судостроительного комплекса «Звезда» будет характерно решение первоочередной задачи российского судостроения по преодолению исторически сложившегося технологического отставания в части организации производства гражданского судостроения путем внедрения новейших судостроительных технологий и соответствия лучшим мировым показателям производительности труда.</w:t>
            </w:r>
          </w:p>
          <w:p w:rsidR="00096CF6" w:rsidRPr="000B25EE" w:rsidRDefault="00096CF6" w:rsidP="00096CF6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Однако выход на сложившийся внешний рынок судостроительной продукции в традиционном транспортном судостроении (балкеры и танкеры неледового плавания либо низших ледовых классов) будет затруднен по объективным причинам. Конкуренция с Китаем, Японией и Кореей в строительстве транспортных судов массовой постройки бесперспективна по причине отсутствия схожих граничных условий функционирования.</w:t>
            </w:r>
          </w:p>
          <w:p w:rsidR="00096CF6" w:rsidRPr="000B25EE" w:rsidRDefault="00096CF6" w:rsidP="00096CF6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lastRenderedPageBreak/>
              <w:t xml:space="preserve">Исходя из динамики развития энергетической отрасли и конкурентных преимуществ будущих судостроительных мощностей Проекта, наиболее перспективным для России или для проекта будет рынок гражданского судостроения, связанный с добычей и транспортировкой жидких углеводородов с шельфовых месторождений, где расположены крупнейшие запасы углеводородов. </w:t>
            </w:r>
          </w:p>
          <w:p w:rsidR="00096CF6" w:rsidRPr="000B25EE" w:rsidRDefault="00096CF6" w:rsidP="00096CF6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Драйвером роста спроса на продукцию судостроения в России станет потребность в уникальных морских буровых установках и нефтегазовых сооружениях (добычных платформ) и, соответственно, судах обслуживающего флота.</w:t>
            </w:r>
          </w:p>
          <w:p w:rsidR="00096CF6" w:rsidRPr="000B25EE" w:rsidRDefault="00096CF6" w:rsidP="00096CF6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По заключению отраслевых экспертов</w:t>
            </w:r>
            <w:r w:rsidRPr="000B25EE">
              <w:rPr>
                <w:rFonts w:ascii="Times New Roman" w:hAnsi="Times New Roman"/>
                <w:sz w:val="20"/>
                <w:szCs w:val="28"/>
              </w:rPr>
              <w:footnoteReference w:id="1"/>
            </w:r>
            <w:r w:rsidRPr="000B25EE">
              <w:rPr>
                <w:rFonts w:ascii="Times New Roman" w:hAnsi="Times New Roman"/>
                <w:sz w:val="20"/>
                <w:szCs w:val="28"/>
              </w:rPr>
              <w:t>, перспективный рынок продукции проекта включает разнообразную номенклатуру сложных наукоемких морских судов обслуживающего флота, морскую технику для изучения и освоения нефтегазового потенциала континентального шельфа России, буксиры, спасатели, принципиально новые крупно- и среднетоннажные суда усиленного ледового класса (танкеры и газовозы).</w:t>
            </w:r>
          </w:p>
          <w:p w:rsidR="00096CF6" w:rsidRPr="000B25EE" w:rsidRDefault="00096CF6" w:rsidP="00096CF6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Основными заказчиками судов и морской техники в России являются</w:t>
            </w:r>
            <w:r w:rsidRPr="000B25EE">
              <w:rPr>
                <w:rFonts w:ascii="Times New Roman" w:hAnsi="Times New Roman"/>
                <w:sz w:val="20"/>
                <w:szCs w:val="28"/>
              </w:rPr>
              <w:footnoteReference w:id="2"/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судоходные и нефтегазовые компании, реализующие проекты в Арктических широтах и на Дальнем Востоке России: 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«НК «Роснефть» (включая совместные предприятия);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«Газпром» (в том  числе компания «Сахалин Энерджи Инвестмент компани Лтд», ОАО «Газпром нефть», ООО «Газфлот»)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«Лукойл»;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«НОВАТЭК», в том числе ОАО «Ямал СПГ»;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«Сибур»;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 xml:space="preserve">ОАО «Совкомфлот»; 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«Приморское морское пароходство»;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«Мурманское морское пароходство»;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 xml:space="preserve">ОАО «Дальневосточное морское пароходство»; 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«Сахалинское морское пароходство»;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Группа компаний «Фемко»;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«Феско»;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ФГУП «Росморпорт»;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ФГУП «Атомфлот»;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и др.</w:t>
            </w:r>
          </w:p>
          <w:p w:rsidR="00096CF6" w:rsidRPr="000B25EE" w:rsidRDefault="00096CF6" w:rsidP="00096CF6">
            <w:pPr>
              <w:pStyle w:val="a5"/>
              <w:spacing w:before="0"/>
              <w:rPr>
                <w:rFonts w:eastAsia="Times New Roman"/>
                <w:sz w:val="20"/>
                <w:szCs w:val="28"/>
                <w:lang w:eastAsia="ru-RU"/>
              </w:rPr>
            </w:pPr>
            <w:r w:rsidRPr="000B25EE">
              <w:rPr>
                <w:rFonts w:eastAsia="Times New Roman"/>
                <w:sz w:val="20"/>
                <w:szCs w:val="28"/>
                <w:lang w:eastAsia="ru-RU"/>
              </w:rPr>
              <w:t xml:space="preserve">Именно указанные компании будут генерировать основной спрос на продукцию судостроительного комплекса «Звезда». </w:t>
            </w:r>
          </w:p>
          <w:p w:rsidR="00096CF6" w:rsidRPr="000B25EE" w:rsidRDefault="00096CF6" w:rsidP="00096CF6">
            <w:pPr>
              <w:pStyle w:val="a5"/>
              <w:spacing w:before="0"/>
              <w:rPr>
                <w:rFonts w:eastAsia="Times New Roman"/>
                <w:sz w:val="20"/>
                <w:szCs w:val="28"/>
                <w:lang w:eastAsia="ru-RU"/>
              </w:rPr>
            </w:pPr>
            <w:r w:rsidRPr="000B25EE">
              <w:rPr>
                <w:rFonts w:eastAsia="Times New Roman"/>
                <w:sz w:val="20"/>
                <w:szCs w:val="28"/>
                <w:lang w:eastAsia="ru-RU"/>
              </w:rPr>
              <w:lastRenderedPageBreak/>
              <w:t>Учитывая общегосударственную значимость Проекта, оценка потенциального спроса, предложения и загрузки проводилась на условиях открытости информации со стороны основных заказчиков.</w:t>
            </w:r>
          </w:p>
          <w:p w:rsidR="00096CF6" w:rsidRPr="000B25EE" w:rsidRDefault="00096CF6" w:rsidP="00096CF6">
            <w:pPr>
              <w:pStyle w:val="a5"/>
              <w:spacing w:before="0"/>
              <w:rPr>
                <w:rFonts w:eastAsia="Times New Roman"/>
                <w:sz w:val="20"/>
                <w:szCs w:val="28"/>
                <w:lang w:eastAsia="ru-RU"/>
              </w:rPr>
            </w:pPr>
            <w:r w:rsidRPr="000B25EE">
              <w:rPr>
                <w:rFonts w:eastAsia="Times New Roman"/>
                <w:sz w:val="20"/>
                <w:szCs w:val="28"/>
                <w:lang w:eastAsia="ru-RU"/>
              </w:rPr>
              <w:t>ОАО «НК «Роснефть», ОАО «Газпром», ОАО «Лукойл», ОАО</w:t>
            </w:r>
            <w:r w:rsidRPr="000B25EE">
              <w:rPr>
                <w:rFonts w:eastAsia="Times New Roman"/>
                <w:sz w:val="20"/>
                <w:szCs w:val="28"/>
                <w:lang w:val="ru-RU" w:eastAsia="ru-RU"/>
              </w:rPr>
              <w:t> </w:t>
            </w:r>
            <w:r w:rsidRPr="000B25EE">
              <w:rPr>
                <w:rFonts w:eastAsia="Times New Roman"/>
                <w:sz w:val="20"/>
                <w:szCs w:val="28"/>
                <w:lang w:eastAsia="ru-RU"/>
              </w:rPr>
              <w:t>«Совкомфлот», ФГУП «Росморпорт»</w:t>
            </w:r>
            <w:r w:rsidRPr="000B25EE">
              <w:rPr>
                <w:rFonts w:eastAsia="Times New Roman"/>
                <w:sz w:val="20"/>
                <w:szCs w:val="28"/>
                <w:lang w:val="ru-RU" w:eastAsia="ru-RU"/>
              </w:rPr>
              <w:t xml:space="preserve"> и другими предприятиями были спрогнозированы долгосрочные потребности в продукции судостроении на основании своих инвестиционных планов.  </w:t>
            </w:r>
          </w:p>
          <w:p w:rsidR="00096CF6" w:rsidRPr="000B25EE" w:rsidRDefault="00096CF6" w:rsidP="00096CF6">
            <w:pPr>
              <w:pStyle w:val="a5"/>
              <w:spacing w:before="0"/>
              <w:rPr>
                <w:rFonts w:eastAsia="Times New Roman"/>
                <w:sz w:val="20"/>
                <w:szCs w:val="28"/>
                <w:lang w:eastAsia="ru-RU"/>
              </w:rPr>
            </w:pPr>
            <w:r w:rsidRPr="000B25EE">
              <w:rPr>
                <w:rFonts w:eastAsia="Times New Roman"/>
                <w:sz w:val="20"/>
                <w:szCs w:val="28"/>
                <w:lang w:eastAsia="ru-RU"/>
              </w:rPr>
              <w:t xml:space="preserve">В соответствии с поручениями Правительства Российской Федерации (от 5 апреля 2013 г. № РД-П7-2202,) под руководством Минпромторга России и с привлечением отраслевых экспертов (ФГУП «Крыловский государственный научный центр») в течение 2013-2014 гг. был консолидирован суммарный объем рынка российского рынка. </w:t>
            </w:r>
          </w:p>
          <w:p w:rsidR="00096CF6" w:rsidRPr="000B25EE" w:rsidRDefault="00096CF6" w:rsidP="00096CF6">
            <w:pPr>
              <w:pStyle w:val="a5"/>
              <w:spacing w:before="0"/>
              <w:rPr>
                <w:rFonts w:eastAsia="Times New Roman"/>
                <w:sz w:val="20"/>
                <w:szCs w:val="28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8"/>
                <w:lang w:eastAsia="ru-RU"/>
              </w:rPr>
              <w:t>Общее количество судов и морской техники, планируемых к постройке до 2030 года составило практически 8000 ед., включая внутренний водный транспорт.</w:t>
            </w:r>
          </w:p>
          <w:p w:rsidR="00096CF6" w:rsidRPr="000B25EE" w:rsidRDefault="00096CF6" w:rsidP="00096CF6">
            <w:pPr>
              <w:pStyle w:val="a5"/>
              <w:spacing w:before="0"/>
              <w:rPr>
                <w:rFonts w:eastAsia="Times New Roman"/>
                <w:sz w:val="20"/>
                <w:szCs w:val="28"/>
                <w:lang w:eastAsia="ru-RU"/>
              </w:rPr>
            </w:pPr>
            <w:r w:rsidRPr="000B25EE">
              <w:rPr>
                <w:rFonts w:eastAsia="Times New Roman"/>
                <w:sz w:val="20"/>
                <w:szCs w:val="28"/>
                <w:lang w:eastAsia="ru-RU"/>
              </w:rPr>
              <w:t>Более подробно потребности российских заказчиков в судах и морской технике описаны в бизнес-плане Проекта.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E7184C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Срок реализации инвестиционного проекта</w:t>
            </w:r>
          </w:p>
          <w:p w:rsidR="00366F45" w:rsidRPr="000B25EE" w:rsidRDefault="00366F45" w:rsidP="00E7184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2012-</w:t>
            </w:r>
            <w:r w:rsidR="00E7184C" w:rsidRPr="000B25EE">
              <w:rPr>
                <w:rFonts w:ascii="Times New Roman" w:hAnsi="Times New Roman"/>
                <w:sz w:val="20"/>
                <w:szCs w:val="20"/>
              </w:rPr>
              <w:t>2024 гг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7.1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E7184C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Фаза строительства</w:t>
            </w:r>
          </w:p>
          <w:p w:rsidR="00366F45" w:rsidRPr="000B25EE" w:rsidRDefault="0033729E" w:rsidP="0033729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 расширенная очередь - </w:t>
            </w:r>
            <w:r w:rsidR="00E7184C" w:rsidRPr="000B25EE">
              <w:rPr>
                <w:rFonts w:ascii="Times New Roman" w:hAnsi="Times New Roman"/>
                <w:sz w:val="20"/>
                <w:szCs w:val="20"/>
              </w:rPr>
              <w:t>2012-20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>19</w:t>
            </w:r>
            <w:r w:rsidR="00E7184C" w:rsidRPr="000B25EE">
              <w:rPr>
                <w:rFonts w:ascii="Times New Roman" w:hAnsi="Times New Roman"/>
                <w:sz w:val="20"/>
                <w:szCs w:val="20"/>
              </w:rPr>
              <w:t xml:space="preserve"> гг</w:t>
            </w:r>
          </w:p>
          <w:p w:rsidR="0033729E" w:rsidRPr="000B25EE" w:rsidRDefault="0033729E" w:rsidP="0033729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 очередь – 2018 – 2022 гг.</w:t>
            </w:r>
          </w:p>
          <w:p w:rsidR="0033729E" w:rsidRPr="000B25EE" w:rsidRDefault="0033729E" w:rsidP="0033729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 очередь – 2021 – 2024 гг.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7.2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E7184C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Фаза эксплуатации</w:t>
            </w:r>
          </w:p>
          <w:p w:rsidR="00366F45" w:rsidRPr="000B25EE" w:rsidRDefault="00E7184C" w:rsidP="00E7184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С 2016 г.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5774F0" w:rsidRDefault="004373E6" w:rsidP="0035078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774F0">
              <w:rPr>
                <w:rFonts w:ascii="Times New Roman" w:hAnsi="Times New Roman"/>
                <w:b/>
                <w:sz w:val="20"/>
                <w:szCs w:val="20"/>
              </w:rPr>
              <w:t>Объем капитальных вложений в реальных ценах</w:t>
            </w:r>
          </w:p>
          <w:p w:rsidR="008E7A4D" w:rsidRPr="000B25EE" w:rsidRDefault="00B32747" w:rsidP="00E0671A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145 483 </w:t>
            </w:r>
            <w:r w:rsidR="00E0671A" w:rsidRPr="000B25EE">
              <w:rPr>
                <w:rFonts w:ascii="Times New Roman" w:hAnsi="Times New Roman"/>
                <w:sz w:val="20"/>
                <w:szCs w:val="20"/>
              </w:rPr>
              <w:t>млн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. руб. 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5774F0" w:rsidRDefault="004373E6" w:rsidP="0035078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774F0">
              <w:rPr>
                <w:rFonts w:ascii="Times New Roman" w:hAnsi="Times New Roman"/>
                <w:b/>
                <w:sz w:val="20"/>
                <w:szCs w:val="20"/>
              </w:rPr>
              <w:t>Объем финансирования</w:t>
            </w:r>
          </w:p>
          <w:p w:rsidR="00B32747" w:rsidRPr="000B25EE" w:rsidRDefault="00B32747" w:rsidP="00E0671A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145 483 </w:t>
            </w:r>
            <w:r w:rsidR="00E0671A" w:rsidRPr="000B25EE">
              <w:rPr>
                <w:rFonts w:ascii="Times New Roman" w:hAnsi="Times New Roman"/>
                <w:sz w:val="20"/>
                <w:szCs w:val="20"/>
              </w:rPr>
              <w:t>млн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>. руб.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9.1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5774F0" w:rsidRDefault="004373E6" w:rsidP="0035078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774F0">
              <w:rPr>
                <w:rFonts w:ascii="Times New Roman" w:hAnsi="Times New Roman"/>
                <w:b/>
                <w:sz w:val="20"/>
                <w:szCs w:val="20"/>
              </w:rPr>
              <w:t>Заемное финансирование, планируемый срок погашения кредитов и займов</w:t>
            </w:r>
          </w:p>
          <w:p w:rsidR="008E7A4D" w:rsidRPr="000B25EE" w:rsidRDefault="00D5043C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7</w:t>
            </w:r>
            <w:r w:rsidR="00121D04" w:rsidRPr="000B25EE">
              <w:rPr>
                <w:rFonts w:ascii="Times New Roman" w:hAnsi="Times New Roman"/>
                <w:sz w:val="20"/>
                <w:szCs w:val="20"/>
              </w:rPr>
              <w:t>3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> </w:t>
            </w:r>
            <w:r w:rsidR="00121D04" w:rsidRPr="000B25EE">
              <w:rPr>
                <w:rFonts w:ascii="Times New Roman" w:hAnsi="Times New Roman"/>
                <w:sz w:val="20"/>
                <w:szCs w:val="20"/>
              </w:rPr>
              <w:t>000</w:t>
            </w:r>
            <w:r w:rsidR="00B32747" w:rsidRPr="000B25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671A" w:rsidRPr="000B25EE">
              <w:rPr>
                <w:rFonts w:ascii="Times New Roman" w:hAnsi="Times New Roman"/>
                <w:sz w:val="20"/>
                <w:szCs w:val="20"/>
              </w:rPr>
              <w:t>млн</w:t>
            </w:r>
            <w:r w:rsidR="00B32747" w:rsidRPr="000B25EE">
              <w:rPr>
                <w:rFonts w:ascii="Times New Roman" w:hAnsi="Times New Roman"/>
                <w:sz w:val="20"/>
                <w:szCs w:val="20"/>
              </w:rPr>
              <w:t>. руб. — за</w:t>
            </w:r>
            <w:r w:rsidR="004934A9" w:rsidRPr="000B25EE">
              <w:rPr>
                <w:rFonts w:ascii="Times New Roman" w:hAnsi="Times New Roman"/>
                <w:sz w:val="20"/>
                <w:szCs w:val="20"/>
              </w:rPr>
              <w:t>ймы</w:t>
            </w:r>
            <w:r w:rsidR="00B32747" w:rsidRPr="000B25EE">
              <w:rPr>
                <w:rFonts w:ascii="Times New Roman" w:hAnsi="Times New Roman"/>
                <w:sz w:val="20"/>
                <w:szCs w:val="20"/>
              </w:rPr>
              <w:t xml:space="preserve"> ЗАО «СТС»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>(</w:t>
            </w:r>
            <w:r w:rsidR="00B32747" w:rsidRPr="000B25EE">
              <w:rPr>
                <w:rFonts w:ascii="Times New Roman" w:hAnsi="Times New Roman"/>
                <w:sz w:val="20"/>
                <w:szCs w:val="20"/>
              </w:rPr>
              <w:t>погашение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934A9" w:rsidRPr="000B25EE">
              <w:rPr>
                <w:rFonts w:ascii="Times New Roman" w:hAnsi="Times New Roman"/>
                <w:sz w:val="20"/>
                <w:szCs w:val="20"/>
              </w:rPr>
              <w:t>по действующим договорам займа</w:t>
            </w:r>
            <w:r w:rsidR="00B32747" w:rsidRPr="000B25EE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="003166E0" w:rsidRPr="000B25EE">
              <w:rPr>
                <w:rFonts w:ascii="Times New Roman" w:hAnsi="Times New Roman"/>
                <w:sz w:val="20"/>
                <w:szCs w:val="20"/>
              </w:rPr>
              <w:t xml:space="preserve">сентябре </w:t>
            </w:r>
            <w:r w:rsidR="000C58D4" w:rsidRPr="000B25EE">
              <w:rPr>
                <w:rFonts w:ascii="Times New Roman" w:hAnsi="Times New Roman"/>
                <w:sz w:val="20"/>
                <w:szCs w:val="20"/>
              </w:rPr>
              <w:t>2018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 xml:space="preserve"> — 12,</w:t>
            </w:r>
            <w:r w:rsidR="004934A9" w:rsidRPr="000B25EE">
              <w:rPr>
                <w:rFonts w:ascii="Times New Roman" w:hAnsi="Times New Roman"/>
                <w:sz w:val="20"/>
                <w:szCs w:val="20"/>
              </w:rPr>
              <w:t>0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 xml:space="preserve"> млрд. руб</w:t>
            </w:r>
            <w:r w:rsidR="004934A9" w:rsidRPr="000B25EE">
              <w:rPr>
                <w:rFonts w:ascii="Times New Roman" w:hAnsi="Times New Roman"/>
                <w:sz w:val="20"/>
                <w:szCs w:val="20"/>
              </w:rPr>
              <w:t>.</w:t>
            </w:r>
            <w:r w:rsidR="003166E0" w:rsidRPr="000B25EE">
              <w:rPr>
                <w:rFonts w:ascii="Times New Roman" w:hAnsi="Times New Roman"/>
                <w:sz w:val="20"/>
                <w:szCs w:val="20"/>
              </w:rPr>
              <w:t>, погашение планируемых к привлечению займов — с 2023 по 2025 гг.</w:t>
            </w:r>
            <w:r w:rsidR="00B32747" w:rsidRPr="000B25EE">
              <w:rPr>
                <w:rFonts w:ascii="Times New Roman" w:hAnsi="Times New Roman"/>
                <w:sz w:val="20"/>
                <w:szCs w:val="20"/>
              </w:rPr>
              <w:t>;</w:t>
            </w:r>
            <w:r w:rsidR="003166E0" w:rsidRPr="000B25E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21D04" w:rsidRPr="005774F0" w:rsidRDefault="00B32747" w:rsidP="00121D04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  <w:r w:rsidR="00D5043C" w:rsidRPr="000B25EE">
              <w:rPr>
                <w:rFonts w:ascii="Times New Roman" w:hAnsi="Times New Roman"/>
                <w:sz w:val="20"/>
                <w:szCs w:val="20"/>
              </w:rPr>
              <w:t> </w:t>
            </w:r>
            <w:r w:rsidR="000C58D4" w:rsidRPr="000B25EE">
              <w:rPr>
                <w:rFonts w:ascii="Times New Roman" w:hAnsi="Times New Roman"/>
                <w:sz w:val="20"/>
                <w:szCs w:val="20"/>
              </w:rPr>
              <w:t>350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671A" w:rsidRPr="000B25EE">
              <w:rPr>
                <w:rFonts w:ascii="Times New Roman" w:hAnsi="Times New Roman"/>
                <w:sz w:val="20"/>
                <w:szCs w:val="20"/>
              </w:rPr>
              <w:t>млн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. руб. — кредит АО «Газпромбанк» 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>(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 xml:space="preserve">погашение по действующему </w:t>
            </w:r>
            <w:r w:rsidR="004934A9" w:rsidRPr="000B25EE">
              <w:rPr>
                <w:rFonts w:ascii="Times New Roman" w:hAnsi="Times New Roman"/>
                <w:sz w:val="20"/>
                <w:szCs w:val="20"/>
              </w:rPr>
              <w:t xml:space="preserve">кредитному 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 xml:space="preserve">договору: </w:t>
            </w:r>
            <w:r w:rsidR="003166E0" w:rsidRPr="000B25EE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 xml:space="preserve">2016 г.  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>—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 xml:space="preserve"> 10,2 млрд. руб., </w:t>
            </w:r>
            <w:r w:rsidR="003166E0" w:rsidRPr="000B25EE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 xml:space="preserve">2017 г. 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>—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 xml:space="preserve"> 2,15</w:t>
            </w:r>
            <w:r w:rsidR="004934A9" w:rsidRPr="000B25EE">
              <w:rPr>
                <w:rFonts w:ascii="Times New Roman" w:hAnsi="Times New Roman"/>
                <w:sz w:val="20"/>
                <w:szCs w:val="20"/>
              </w:rPr>
              <w:t> 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>млрд. руб.)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9.2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5774F0" w:rsidRDefault="004373E6" w:rsidP="0035078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774F0">
              <w:rPr>
                <w:rFonts w:ascii="Times New Roman" w:hAnsi="Times New Roman"/>
                <w:b/>
                <w:sz w:val="20"/>
                <w:szCs w:val="20"/>
              </w:rPr>
              <w:t>Собственный капитал</w:t>
            </w:r>
          </w:p>
          <w:p w:rsidR="00B32747" w:rsidRPr="000B25EE" w:rsidRDefault="00D5043C" w:rsidP="00121D04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54 5</w:t>
            </w:r>
            <w:r w:rsidR="00121D04" w:rsidRPr="000B25EE">
              <w:rPr>
                <w:rFonts w:ascii="Times New Roman" w:hAnsi="Times New Roman"/>
                <w:sz w:val="20"/>
                <w:szCs w:val="20"/>
              </w:rPr>
              <w:t>33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> </w:t>
            </w:r>
            <w:r w:rsidR="00E0671A" w:rsidRPr="000B25EE">
              <w:rPr>
                <w:rFonts w:ascii="Times New Roman" w:hAnsi="Times New Roman"/>
                <w:sz w:val="20"/>
                <w:szCs w:val="20"/>
              </w:rPr>
              <w:t>млн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. руб. — собственные средства ООО «ССК «Звезда» 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9.3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0C58D4" w:rsidRPr="000B25EE">
              <w:rPr>
                <w:rFonts w:ascii="Times New Roman" w:hAnsi="Times New Roman"/>
                <w:sz w:val="20"/>
                <w:szCs w:val="20"/>
              </w:rPr>
              <w:t>партнёра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 по инвестиционному проекту</w:t>
            </w:r>
          </w:p>
          <w:p w:rsidR="00B32747" w:rsidRPr="000B25EE" w:rsidRDefault="00B32747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0 руб.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9.4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Бюджетные средства</w:t>
            </w:r>
          </w:p>
          <w:p w:rsidR="008E7A4D" w:rsidRPr="000B25EE" w:rsidRDefault="00B81E61" w:rsidP="00E067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8E7A4D" w:rsidRPr="000B25E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8E7A4D" w:rsidRPr="000B25EE">
              <w:rPr>
                <w:rFonts w:ascii="Times New Roman" w:hAnsi="Times New Roman"/>
                <w:sz w:val="20"/>
                <w:szCs w:val="20"/>
              </w:rPr>
              <w:t>00</w:t>
            </w:r>
            <w:r w:rsidR="008E7A4D" w:rsidRPr="000B25E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="00E0671A" w:rsidRPr="000B25EE">
              <w:rPr>
                <w:rFonts w:ascii="Times New Roman" w:hAnsi="Times New Roman"/>
                <w:sz w:val="20"/>
                <w:szCs w:val="20"/>
              </w:rPr>
              <w:t>млн.</w:t>
            </w:r>
            <w:r w:rsidR="008E7A4D" w:rsidRPr="000B25E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="008E7A4D" w:rsidRPr="000B25EE">
              <w:rPr>
                <w:rFonts w:ascii="Times New Roman" w:hAnsi="Times New Roman"/>
                <w:sz w:val="20"/>
                <w:szCs w:val="20"/>
              </w:rPr>
              <w:t>руб. — Субсидия на уплату процентов по ранее привлечённым кредитам за счёт средств федерального бюджета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9.5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Средства Фонда национального благосостояния (с указанием предельного объема средств Фонда национального благосостояния, предельного срока и минимальной доходности их размещения)</w:t>
            </w:r>
          </w:p>
          <w:p w:rsidR="00B32747" w:rsidRPr="000B25EE" w:rsidRDefault="00B32747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0 руб.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9.6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Средства пенсионных накоплений</w:t>
            </w:r>
          </w:p>
          <w:p w:rsidR="00B32747" w:rsidRPr="000B25EE" w:rsidRDefault="00B32747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0 руб.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Рейтинг долгосрочной кредитоспособности инициатора (если применимо)</w:t>
            </w:r>
          </w:p>
          <w:p w:rsidR="00552260" w:rsidRPr="000B25EE" w:rsidRDefault="00552260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 xml:space="preserve">ОАО «НК Роснефть» рейтинг </w:t>
            </w:r>
            <w:r w:rsidRPr="000B25EE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>&amp;</w:t>
            </w:r>
            <w:r w:rsidRPr="000B25EE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 BB+ (http://www.rosneft.ru/Investors/instruments/Ratings/)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6E6378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Социальные эффекты от инвестиционного проекта</w:t>
            </w:r>
          </w:p>
          <w:p w:rsidR="006E6378" w:rsidRPr="000B25EE" w:rsidRDefault="006E6378" w:rsidP="0043226E">
            <w:pPr>
              <w:pStyle w:val="a5"/>
              <w:tabs>
                <w:tab w:val="left" w:pos="410"/>
                <w:tab w:val="left" w:pos="552"/>
              </w:tabs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Создание судостроительного кластера на базе Проекта СК «Звезда» будет способствовать экономическому росту Дальневосточного региона, а также оказывать существенное положительное влияние на состояние местной социальной сферы вследствие следующих факторов: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локализация на одной территории основных участников кластерной системы;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стимулирование увеличения количества малых и средних предприятий;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синергетический эффект и повышение конкурентоспособности входящих в кластер предприятий; 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повышение эффективности системы подготовки кадров;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возможность создания рабочих мест и привлечения населения в регион, а также повышения производительности труда за счет внедрения современных технологий;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построение судостроительного сектора в Дальневосточном регионе России путем развития центров исследования и разработок, центров обучения и сети поставок;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120" w:line="240" w:lineRule="auto"/>
              <w:ind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дополнительные налоговые поступления в бюджеты всех уровней.</w:t>
            </w:r>
          </w:p>
          <w:p w:rsidR="006E6378" w:rsidRPr="000B25EE" w:rsidRDefault="006E6378" w:rsidP="0043226E">
            <w:pPr>
              <w:pStyle w:val="a5"/>
              <w:tabs>
                <w:tab w:val="left" w:pos="410"/>
                <w:tab w:val="left" w:pos="552"/>
              </w:tabs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Только на Проекте СК «Звезда» будет создано около 7 тыс. новых рабочих мест (на 1 рабочее место в судостроении приходится 7 рабочих мест в смежных отраслях).</w:t>
            </w:r>
          </w:p>
          <w:p w:rsidR="006E6378" w:rsidRPr="000B25EE" w:rsidRDefault="006E6378" w:rsidP="0043226E">
            <w:pPr>
              <w:pStyle w:val="a5"/>
              <w:tabs>
                <w:tab w:val="left" w:pos="410"/>
                <w:tab w:val="left" w:pos="552"/>
              </w:tabs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 xml:space="preserve">Планируемые социальные и экономические эффекты от создания судостроительного кластера: 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410"/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увеличение доли локализации до 70%;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410"/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увеличение доли современных технологий до 90%;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410"/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рост загрузки мощностей судостроения до 70-75%;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410"/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доля обновленных производственных фондов 60-70%;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410"/>
                <w:tab w:val="left" w:pos="552"/>
                <w:tab w:val="left" w:pos="977"/>
              </w:tabs>
              <w:spacing w:after="12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рост производительности труда в отрасли в 3-3,5 раза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43226E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Создание объектов социальной инфраструктуры</w:t>
            </w:r>
          </w:p>
          <w:p w:rsidR="0033729E" w:rsidRPr="000B25EE" w:rsidRDefault="0033729E" w:rsidP="004E673D">
            <w:pPr>
              <w:pStyle w:val="4"/>
              <w:shd w:val="clear" w:color="auto" w:fill="auto"/>
              <w:spacing w:after="0" w:line="300" w:lineRule="auto"/>
              <w:ind w:left="20" w:right="40" w:firstLine="248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 xml:space="preserve">Проект строительства судостроительного комплекса «Звезда» имеет государственное значение для развития судостроительной отрасли, а также важное значение для социально-экономического развития дальневосточного региона. Реализация проекта влечет за собой необходимость решения широкого круга вопросов социального характера, в том числе основного вопроса – обеспечения жильем работников верфи и их семей в ГО Большой Камень. </w:t>
            </w:r>
          </w:p>
          <w:p w:rsidR="0033729E" w:rsidRPr="000B25EE" w:rsidRDefault="0033729E" w:rsidP="004E673D">
            <w:pPr>
              <w:pStyle w:val="4"/>
              <w:shd w:val="clear" w:color="auto" w:fill="auto"/>
              <w:spacing w:after="0" w:line="300" w:lineRule="auto"/>
              <w:ind w:left="20" w:right="40" w:firstLine="248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В соответствии с п.5 перечня поручений Пр-2747 от 28 ноября 2014 г., п.8 Пр-1919 от 23 сентября 2015 г. решение вопроса обеспечения жильем сотрудников судостроительного комплекса возложено на АО «Фонд развития Дальнего Востока и Байкальского региона», Администрацию Приморского края и ОАО «Агентство по ипотечному жилищному кредитованию» совместно с Минфином России, Минстроем России и другими органами государственной власти и организациями.</w:t>
            </w:r>
          </w:p>
          <w:p w:rsidR="0033729E" w:rsidRPr="000B25EE" w:rsidRDefault="0033729E" w:rsidP="004E673D">
            <w:pPr>
              <w:pStyle w:val="4"/>
              <w:shd w:val="clear" w:color="auto" w:fill="auto"/>
              <w:spacing w:after="0" w:line="300" w:lineRule="auto"/>
              <w:ind w:left="20" w:right="40" w:firstLine="248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Для целей обеспечения жильём работников СК «Звезда» во взаимодействии с администрацией Большого Камня отобраны три земельных участка, расположенных в зоне жилой застройки под строительство микрорайонов «Шестой», «Парковый» и «Садовый». Администрацией городского округа Большой Камень участки зарезервированы и поставлены на кадастровый учет.</w:t>
            </w:r>
          </w:p>
          <w:p w:rsidR="0033729E" w:rsidRPr="000B25EE" w:rsidRDefault="0033729E" w:rsidP="004E673D">
            <w:pPr>
              <w:pStyle w:val="4"/>
              <w:shd w:val="clear" w:color="auto" w:fill="auto"/>
              <w:spacing w:after="0" w:line="300" w:lineRule="auto"/>
              <w:ind w:left="20" w:right="40" w:firstLine="248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 xml:space="preserve">Принято решение начать работы с застройки микрорайона «Шестой» в ГО Большой Камень. </w:t>
            </w:r>
          </w:p>
          <w:p w:rsidR="0033729E" w:rsidRPr="000B25EE" w:rsidRDefault="0033729E" w:rsidP="004E673D">
            <w:pPr>
              <w:pStyle w:val="4"/>
              <w:shd w:val="clear" w:color="auto" w:fill="auto"/>
              <w:spacing w:after="0" w:line="300" w:lineRule="auto"/>
              <w:ind w:left="20" w:right="40" w:firstLine="248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 xml:space="preserve">Согласно </w:t>
            </w:r>
            <w:r w:rsidR="0043226E" w:rsidRPr="000B25EE">
              <w:rPr>
                <w:spacing w:val="0"/>
                <w:sz w:val="20"/>
                <w:szCs w:val="20"/>
                <w:lang w:eastAsia="ru-RU"/>
              </w:rPr>
              <w:t xml:space="preserve">плану поэтапного ввода жилого фонда и социальной инфраструктуры, составленному Минвостокразвития России ввод в </w:t>
            </w:r>
            <w:r w:rsidR="0043226E" w:rsidRPr="000B25EE">
              <w:rPr>
                <w:spacing w:val="0"/>
                <w:sz w:val="20"/>
                <w:szCs w:val="20"/>
                <w:lang w:eastAsia="ru-RU"/>
              </w:rPr>
              <w:lastRenderedPageBreak/>
              <w:t>эксплуатацию жилых домов планируется следующим образом:</w:t>
            </w:r>
          </w:p>
          <w:p w:rsidR="0043226E" w:rsidRPr="000B25EE" w:rsidRDefault="0043226E" w:rsidP="004E673D">
            <w:pPr>
              <w:pStyle w:val="4"/>
              <w:numPr>
                <w:ilvl w:val="0"/>
                <w:numId w:val="4"/>
              </w:numPr>
              <w:shd w:val="clear" w:color="auto" w:fill="auto"/>
              <w:spacing w:after="0" w:line="300" w:lineRule="auto"/>
              <w:ind w:right="40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Строительство 3-х домов (210 квартир, 525 жителей</w:t>
            </w:r>
            <w:r w:rsidR="00BC2AA9" w:rsidRPr="000B25EE">
              <w:rPr>
                <w:spacing w:val="0"/>
                <w:sz w:val="20"/>
                <w:szCs w:val="20"/>
                <w:lang w:eastAsia="ru-RU"/>
              </w:rPr>
              <w:t>, ответственный – ОАО «ДВЗ «Звезда»</w:t>
            </w:r>
            <w:r w:rsidRPr="000B25EE">
              <w:rPr>
                <w:spacing w:val="0"/>
                <w:sz w:val="20"/>
                <w:szCs w:val="20"/>
                <w:lang w:eastAsia="ru-RU"/>
              </w:rPr>
              <w:t>):</w:t>
            </w:r>
          </w:p>
          <w:p w:rsidR="0043226E" w:rsidRPr="000B25EE" w:rsidRDefault="0043226E" w:rsidP="004E673D">
            <w:pPr>
              <w:pStyle w:val="4"/>
              <w:shd w:val="clear" w:color="auto" w:fill="auto"/>
              <w:spacing w:after="0" w:line="300" w:lineRule="auto"/>
              <w:ind w:left="23" w:right="40" w:firstLine="782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- 1 дом –II квартал 2017 года</w:t>
            </w:r>
            <w:r w:rsidR="00BC2AA9" w:rsidRPr="000B25EE">
              <w:rPr>
                <w:spacing w:val="0"/>
                <w:sz w:val="20"/>
                <w:szCs w:val="20"/>
                <w:lang w:eastAsia="ru-RU"/>
              </w:rPr>
              <w:t>;</w:t>
            </w:r>
          </w:p>
          <w:p w:rsidR="00BC2AA9" w:rsidRPr="000B25EE" w:rsidRDefault="00BC2AA9" w:rsidP="004E673D">
            <w:pPr>
              <w:pStyle w:val="4"/>
              <w:shd w:val="clear" w:color="auto" w:fill="auto"/>
              <w:spacing w:after="0" w:line="300" w:lineRule="auto"/>
              <w:ind w:left="23" w:right="40" w:firstLine="782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- 1 дом –III квартал 2017 года;</w:t>
            </w:r>
          </w:p>
          <w:p w:rsidR="00BC2AA9" w:rsidRPr="000B25EE" w:rsidRDefault="00BC2AA9" w:rsidP="004E673D">
            <w:pPr>
              <w:pStyle w:val="4"/>
              <w:shd w:val="clear" w:color="auto" w:fill="auto"/>
              <w:spacing w:after="0" w:line="300" w:lineRule="auto"/>
              <w:ind w:left="23" w:right="40" w:firstLine="782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- 1 дом –IV квартал 2017 года.</w:t>
            </w:r>
          </w:p>
          <w:p w:rsidR="00BC2AA9" w:rsidRPr="000B25EE" w:rsidRDefault="00BC2AA9" w:rsidP="004E673D">
            <w:pPr>
              <w:pStyle w:val="4"/>
              <w:shd w:val="clear" w:color="auto" w:fill="auto"/>
              <w:spacing w:after="0" w:line="300" w:lineRule="auto"/>
              <w:ind w:left="20" w:right="40" w:firstLine="390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2) Строительство 3-х домов (750 квартир, 1 875 жителей, ответственный – Администрация Приморского края): IV квартал 2017 года</w:t>
            </w:r>
          </w:p>
          <w:p w:rsidR="00BC2AA9" w:rsidRPr="000B25EE" w:rsidRDefault="00BC2AA9" w:rsidP="004E673D">
            <w:pPr>
              <w:pStyle w:val="4"/>
              <w:shd w:val="clear" w:color="auto" w:fill="auto"/>
              <w:spacing w:after="0" w:line="300" w:lineRule="auto"/>
              <w:ind w:left="20" w:right="40" w:firstLine="390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3) Строительство I очереди - 8 домов (1 582 квартиры, 4 021 житель, ответственный – Фонд развития Дальнего Востока): II квартал 2018 года</w:t>
            </w:r>
          </w:p>
          <w:p w:rsidR="009E331D" w:rsidRPr="000B25EE" w:rsidRDefault="00BC2AA9" w:rsidP="004E673D">
            <w:pPr>
              <w:pStyle w:val="4"/>
              <w:shd w:val="clear" w:color="auto" w:fill="auto"/>
              <w:spacing w:after="0" w:line="300" w:lineRule="auto"/>
              <w:ind w:left="23" w:right="40" w:firstLine="391"/>
              <w:rPr>
                <w:sz w:val="20"/>
                <w:szCs w:val="20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4) Строительство II очереди – 3 домов (720 квартир, 1 614 жителей</w:t>
            </w:r>
            <w:r w:rsidR="004E673D" w:rsidRPr="000B25EE">
              <w:rPr>
                <w:spacing w:val="0"/>
                <w:sz w:val="20"/>
                <w:szCs w:val="20"/>
                <w:lang w:eastAsia="ru-RU"/>
              </w:rPr>
              <w:t>, ответственный – Фонд развития Дальнего Востока</w:t>
            </w:r>
            <w:r w:rsidRPr="000B25EE">
              <w:rPr>
                <w:spacing w:val="0"/>
                <w:sz w:val="20"/>
                <w:szCs w:val="20"/>
                <w:lang w:eastAsia="ru-RU"/>
              </w:rPr>
              <w:t>)</w:t>
            </w:r>
            <w:r w:rsidR="004E673D" w:rsidRPr="000B25EE">
              <w:rPr>
                <w:spacing w:val="0"/>
                <w:sz w:val="20"/>
                <w:szCs w:val="20"/>
                <w:lang w:eastAsia="ru-RU"/>
              </w:rPr>
              <w:t>: I квартал 2020 года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Риски реализации инвестиционного проекта</w:t>
            </w:r>
          </w:p>
          <w:p w:rsidR="0042364B" w:rsidRPr="000B25EE" w:rsidRDefault="0042364B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Технологические и инфраструктурные риски — Риск получения продукции низкого качества или невыхода на запланированную мощность по причине ошибок при проектировании, ошибок при инжиниринге или ненадлежащего контроля за процессом производства/</w:t>
            </w:r>
          </w:p>
          <w:p w:rsidR="0042364B" w:rsidRPr="000B25EE" w:rsidRDefault="0042364B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Риск сырьевой базы — Риск заключается в невозможности получения требуемого сырья (сталь, комплектующие), его несвоевременном получении или получении недостаточного качества.</w:t>
            </w:r>
          </w:p>
          <w:p w:rsidR="0042364B" w:rsidRPr="000B25EE" w:rsidRDefault="0042364B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Риск команды проекта и персонала — Отсутствие необходимых навыков, опыта и квалификации у менеджмента для реализации запланированного Проекта, невозможность привлечения квалифицированного персонала.</w:t>
            </w:r>
          </w:p>
          <w:p w:rsidR="0042364B" w:rsidRPr="000B25EE" w:rsidRDefault="0042364B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Экологические, социальные и репутационные риски — Риск негативного воздействия на окружающую среду вследствие реализации проекта, риски, связанные с производственной и управле</w:t>
            </w:r>
            <w:r w:rsidR="00660FB4" w:rsidRPr="000B25EE">
              <w:rPr>
                <w:rFonts w:ascii="Times New Roman" w:hAnsi="Times New Roman"/>
                <w:sz w:val="20"/>
                <w:szCs w:val="20"/>
              </w:rPr>
              <w:t>нческой деятельностью компании.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Риск задержки запуска производства — Риск связан с задержкой завершения строительства завода и задержкой выхода производства на плановую загрузку.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Валютный риск — связан с возможностью финансовых потерь, вызванных изменениями курсов валют, в случаях, когда денежные потоки выражены в разных валютах.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Риск недоступности кредитных ресурсов — Невозможность привлечения кредитных ресурсов для финансирования проекта на приемлемых условиях.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Риск недофинансирования — Риск связан с непредоставлением и/или несвоевременным предоставлением дополнительного финансирования в случае превышения фактических капитальных затрат по Проекту над плановыми.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Рыночные риски, риск снижения спроса на продукцию, обусловленный внешними факторами — Рыночный риск заключается в возможном негативном изменении рыночной конъюнктуры, ведущем к невозможности погашения кредитов из-за падения цен и/или объемов продаж. Уменьшение покупательной способности основных заказчиков, например изменение конъюнктуры на мировом рынке нефти и газа, которая может привести к снижению цен на углеводороды.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Политический риск — Риск финансовых потерь в случае ужесточения санкций в отношении России, например, отложенный спрос на продукцию офшорного судостроения (в случае откладывания проектов добычи углеводородов на шельфовых месторождениях). Отраслевые риски, связанные с взаимоотношениями с естественными монополиями РФ, министерствами (торговли, обороны и т.п.).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Внешнеполитические риски — Невозможность использования  наработок, опыта, ноу-хау в проектировании верфи, технологических схем, организации производства передовых зарубежных консультантов STX, IMG, DSME, Samsung. Объединение российских арктических технологий с современной технологией по строительства судов, разработанной компанией IMG.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Риск законодательных изменений — Негативные изменения в законодательстве (например, налоговом), приводящие к снижению показателей эффективности проекта.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Инфляционный риск — Риск увеличения стоимости основных ресурсов, необходимых для производства (материалы, оборудование, ФОТ и т.д.).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Форс-мажорные риски — Природные явления, имеющие стихийный характер (например, землетрясения или пожары),  экстремальные ситуации (война, эпидемии, забастовки, противоправные действия третьих лиц),  запретительные акты государства: объявление чрезвычайного положения, запрет передвижения в определённые районы.</w:t>
            </w:r>
          </w:p>
          <w:p w:rsidR="006923E8" w:rsidRPr="000B25EE" w:rsidRDefault="00660FB4" w:rsidP="00660FB4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Инструменты и мероприятия по минимизации рисков приведены в бизнес-плане.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Анализ сильных и слабых сторон, возможностей и угроз инвестиционного проекта</w:t>
            </w:r>
          </w:p>
          <w:tbl>
            <w:tblPr>
              <w:tblW w:w="12507" w:type="dxa"/>
              <w:tblBorders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12"/>
              <w:gridCol w:w="6095"/>
            </w:tblGrid>
            <w:tr w:rsidR="006923E8" w:rsidRPr="000B25EE" w:rsidTr="00AC6F75">
              <w:tc>
                <w:tcPr>
                  <w:tcW w:w="6412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F2F2F2"/>
                  <w:hideMark/>
                </w:tcPr>
                <w:p w:rsidR="006923E8" w:rsidRPr="000B25EE" w:rsidRDefault="006923E8" w:rsidP="00183B5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b/>
                      <w:sz w:val="20"/>
                    </w:rPr>
                    <w:t>Сильные стороны (</w:t>
                  </w:r>
                  <w:r w:rsidRPr="000B25EE">
                    <w:rPr>
                      <w:rFonts w:ascii="Times New Roman" w:hAnsi="Times New Roman"/>
                      <w:b/>
                      <w:sz w:val="20"/>
                      <w:lang w:val="en-US"/>
                    </w:rPr>
                    <w:t>S</w:t>
                  </w:r>
                  <w:r w:rsidRPr="000B25EE">
                    <w:rPr>
                      <w:rFonts w:ascii="Times New Roman" w:hAnsi="Times New Roman"/>
                      <w:b/>
                      <w:sz w:val="20"/>
                    </w:rPr>
                    <w:t>)</w:t>
                  </w:r>
                </w:p>
              </w:tc>
              <w:tc>
                <w:tcPr>
                  <w:tcW w:w="6095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F2F2F2"/>
                  <w:hideMark/>
                </w:tcPr>
                <w:p w:rsidR="006923E8" w:rsidRPr="000B25EE" w:rsidRDefault="006923E8" w:rsidP="00183B5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b/>
                      <w:sz w:val="20"/>
                    </w:rPr>
                    <w:t>Слабые стороны (</w:t>
                  </w:r>
                  <w:r w:rsidRPr="000B25EE">
                    <w:rPr>
                      <w:rFonts w:ascii="Times New Roman" w:hAnsi="Times New Roman"/>
                      <w:b/>
                      <w:sz w:val="20"/>
                      <w:lang w:val="en-US"/>
                    </w:rPr>
                    <w:t>W</w:t>
                  </w:r>
                  <w:r w:rsidRPr="000B25EE">
                    <w:rPr>
                      <w:rFonts w:ascii="Times New Roman" w:hAnsi="Times New Roman"/>
                      <w:b/>
                      <w:sz w:val="20"/>
                    </w:rPr>
                    <w:t>)</w:t>
                  </w:r>
                </w:p>
              </w:tc>
            </w:tr>
            <w:tr w:rsidR="006923E8" w:rsidRPr="000B25EE" w:rsidTr="00AC6F75">
              <w:trPr>
                <w:trHeight w:val="1131"/>
              </w:trPr>
              <w:tc>
                <w:tcPr>
                  <w:tcW w:w="6412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auto"/>
                  <w:hideMark/>
                </w:tcPr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Наличие подтвержденного спроса на морскую технику и суда ледового класса со стороны крупных российских заказчиков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В Проекте используется технология крупноблочной сборки судов и морской техники, широко применяемая лидерами мирового судостроения, но мало используемая в РФ. Данная технология позволит значительно сократить сроки и стоимость строительства судов и морской техники в РФ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Проект реализуется «с нуля», а не посредством модернизации существующего производства, что позволит выстроить технологическую цепочку максимально эффективно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Невысокая конкуренция со стороны российских предприятий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Выгодное месторасположение планируемой верфи – вблизи маршрутов транспортировки углеводородного сырья от месторождений Сахалинского шельфа и крупных промышленных центров и транспортных узлов Приморского края, максимальная близость к шельфовым месторождениям Северо-Восточной Арктики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lastRenderedPageBreak/>
                    <w:t>Прямое указание Президента Российской Федерации о размещении заказов на строительство морской техники только на отечественных верфях и, как результат, преимущественное позиционирование ДЦСС, способствующее получению контрактов от внутрироссийских заказчиков;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Создание собственного инжинирингового центра. Повышение эффективности работы в связке «Конструкторское бюро-верфь» путем  кооперации с ведущими зарубежными судостроительными предприятиями, нацеленными на передачу российской стороне компетенций и технологий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18" w:hangingChars="59" w:hanging="118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Текущая стоимость рабочей силы в России считается более выгодной работодателю по сравнению с другими странами с развитой судостроительной отраслью</w:t>
                  </w:r>
                </w:p>
              </w:tc>
              <w:tc>
                <w:tcPr>
                  <w:tcW w:w="6095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auto"/>
                  <w:hideMark/>
                </w:tcPr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lastRenderedPageBreak/>
                    <w:t xml:space="preserve">Неопределенность с доступностью дополнительного финансирования на капитальные расходы и оборотные средства без правительственной поддержки. В текущей ситуации на рынках капитала, долгосрочное проектное финансирование недоступно, а использование краткосрочного финансирования экономически нецелесообразно. 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Недостаточное количество опытных работников судостроительной отрасли в области проектирования и производства, дефицит проектировщиков и квалифицированных кадров (например, по сравнению с северо-западным регионом РФ), ограничения по найму и подготовке квалифицированных кадров, низкая локализация поставщиков материалов и комплектующих, высокая доля импорта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 xml:space="preserve">Отсутствие в регионе реализации Проекта производителей стали, которая требуется в больших количествах, высокая зависимость от тарифов на ЖД перевозку 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18" w:hangingChars="59" w:hanging="118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lastRenderedPageBreak/>
                    <w:t>Недостаточная подготовленность необходимой инфраструктуры (жилье для сотрудников верфи, соцкультбыт и т. п.) для привлечения значительного количества трудовых ресурсов, необходимость понесения значительных связанных с этим затрат на социально-бытовое обеспечение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18" w:hangingChars="59" w:hanging="118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 xml:space="preserve">Длительные сроки принятия и реализации корпоративных решений и решений государственного уровня по Проекту </w:t>
                  </w:r>
                </w:p>
              </w:tc>
            </w:tr>
            <w:tr w:rsidR="006923E8" w:rsidRPr="000B25EE" w:rsidTr="00AC6F75">
              <w:tc>
                <w:tcPr>
                  <w:tcW w:w="6412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F2F2F2"/>
                  <w:hideMark/>
                </w:tcPr>
                <w:p w:rsidR="006923E8" w:rsidRPr="000B25EE" w:rsidRDefault="006923E8" w:rsidP="00183B5E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lang w:val="en-US"/>
                    </w:rPr>
                  </w:pPr>
                  <w:r w:rsidRPr="000B25EE">
                    <w:rPr>
                      <w:rFonts w:ascii="Times New Roman" w:hAnsi="Times New Roman"/>
                      <w:b/>
                      <w:sz w:val="20"/>
                    </w:rPr>
                    <w:lastRenderedPageBreak/>
                    <w:t>Возможности</w:t>
                  </w:r>
                  <w:r w:rsidRPr="000B25EE">
                    <w:rPr>
                      <w:rFonts w:ascii="Times New Roman" w:hAnsi="Times New Roman"/>
                      <w:b/>
                      <w:sz w:val="20"/>
                      <w:lang w:val="en-US"/>
                    </w:rPr>
                    <w:t xml:space="preserve"> (O)</w:t>
                  </w:r>
                </w:p>
              </w:tc>
              <w:tc>
                <w:tcPr>
                  <w:tcW w:w="6095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F2F2F2"/>
                  <w:hideMark/>
                </w:tcPr>
                <w:p w:rsidR="006923E8" w:rsidRPr="000B25EE" w:rsidRDefault="006923E8" w:rsidP="00183B5E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lang w:val="en-US"/>
                    </w:rPr>
                  </w:pPr>
                  <w:r w:rsidRPr="000B25EE">
                    <w:rPr>
                      <w:rFonts w:ascii="Times New Roman" w:hAnsi="Times New Roman"/>
                      <w:b/>
                      <w:sz w:val="20"/>
                    </w:rPr>
                    <w:t>Угрозы</w:t>
                  </w:r>
                  <w:r w:rsidRPr="000B25EE">
                    <w:rPr>
                      <w:rFonts w:ascii="Times New Roman" w:hAnsi="Times New Roman"/>
                      <w:b/>
                      <w:sz w:val="20"/>
                      <w:lang w:val="en-US"/>
                    </w:rPr>
                    <w:t xml:space="preserve"> (T)</w:t>
                  </w:r>
                </w:p>
              </w:tc>
            </w:tr>
            <w:tr w:rsidR="006923E8" w:rsidRPr="000B25EE" w:rsidTr="00AC6F75">
              <w:tc>
                <w:tcPr>
                  <w:tcW w:w="6412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auto"/>
                  <w:hideMark/>
                </w:tcPr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Развитие законодательных инициатив и ускорение принятия необходимых нормативно-правовых актов в сфере модернизации судостроительной промышленности, в том числе в рамках реформирования российской налоговой системы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Разработка крупных шельфовых месторождений будет способствовать формированию устойчивого спроса на продукцию, существующих мощностей для производства которой в России недостаточно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 xml:space="preserve">Возможности по кооперации с предприятиями Азиатско-Тихоокеанского региона и использованию технологий ведущих мировых судостроительных компаний, в том числе по направлению импортозамещения в случае интенсификации  экономических санкций 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Возможность подготовки высококвалифицированных кадров в собственном Учебном центре и в процессе стажировок на крупнейших (ведущих) зарубежных предприятиях отрасли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 xml:space="preserve"> При достижении плановых показателей эффективности – возможность выхода верфи на внешние рынки</w:t>
                  </w:r>
                </w:p>
                <w:p w:rsidR="006923E8" w:rsidRPr="000B25EE" w:rsidRDefault="006923E8" w:rsidP="00183B5E">
                  <w:pPr>
                    <w:spacing w:after="60"/>
                    <w:ind w:left="142" w:hanging="142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6095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auto"/>
                  <w:hideMark/>
                </w:tcPr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Экономическая эффективность Проекта в значительной степени зависит от колебаний цен на сталь, на начальном этапе от импортных комплектующих и оборудования, уровня инфляции и курсов обмена валют, которые достаточно волатильны на текущий момент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jc w:val="both"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Спад мировой экономики и медленные темпы ее восстановления могут привести к сокращению спроса и продолжению тенденции к снижению цены на газ и нефть, что повлечет уменьшение спроса на продукцию судостроения.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jc w:val="both"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Угроза запрета на поставки оборудования для строительства судов и морской техники и ее комплектующих, а также наработок, ноу-хау в проектировании верфи, технологических схем, организации производства передовых зарубежных консультантов по причине введения внешних экономических санкций.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jc w:val="both"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Угроза повышения тарифов на ЖД перевозки стали, отсутствие свободных мощностей транспортной системы для перевозки объемов стали, необходимых для реализации Проекта</w:t>
                  </w:r>
                </w:p>
              </w:tc>
            </w:tr>
          </w:tbl>
          <w:p w:rsidR="006923E8" w:rsidRPr="000B25EE" w:rsidRDefault="006923E8" w:rsidP="0035078B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Default="004373E6" w:rsidP="007944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Ответственный исполнитель по инвестиционному проекту и его контактные данные</w:t>
            </w:r>
          </w:p>
          <w:p w:rsidR="00E646CA" w:rsidRPr="000B25EE" w:rsidRDefault="00E646CA" w:rsidP="0079445D">
            <w:pPr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АО «ДЦСС»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</w:tbl>
    <w:p w:rsidR="00A73319" w:rsidRDefault="00A73319"/>
    <w:sectPr w:rsidR="00A73319" w:rsidSect="00992866">
      <w:headerReference w:type="default" r:id="rId7"/>
      <w:pgSz w:w="16838" w:h="11906" w:orient="landscape"/>
      <w:pgMar w:top="1701" w:right="1134" w:bottom="850" w:left="1134" w:header="708" w:footer="708" w:gutter="0"/>
      <w:pgNumType w:start="3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6F2" w:rsidRDefault="005406F2" w:rsidP="00096CF6">
      <w:pPr>
        <w:spacing w:after="0" w:line="240" w:lineRule="auto"/>
      </w:pPr>
      <w:r>
        <w:separator/>
      </w:r>
    </w:p>
  </w:endnote>
  <w:endnote w:type="continuationSeparator" w:id="0">
    <w:p w:rsidR="005406F2" w:rsidRDefault="005406F2" w:rsidP="0009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6F2" w:rsidRDefault="005406F2" w:rsidP="00096CF6">
      <w:pPr>
        <w:spacing w:after="0" w:line="240" w:lineRule="auto"/>
      </w:pPr>
      <w:r>
        <w:separator/>
      </w:r>
    </w:p>
  </w:footnote>
  <w:footnote w:type="continuationSeparator" w:id="0">
    <w:p w:rsidR="005406F2" w:rsidRDefault="005406F2" w:rsidP="00096CF6">
      <w:pPr>
        <w:spacing w:after="0" w:line="240" w:lineRule="auto"/>
      </w:pPr>
      <w:r>
        <w:continuationSeparator/>
      </w:r>
    </w:p>
  </w:footnote>
  <w:footnote w:id="1">
    <w:p w:rsidR="00096CF6" w:rsidRPr="0026142D" w:rsidRDefault="00096CF6" w:rsidP="00096CF6">
      <w:pPr>
        <w:pStyle w:val="ab"/>
      </w:pPr>
      <w:r>
        <w:rPr>
          <w:rStyle w:val="aa"/>
        </w:rPr>
        <w:footnoteRef/>
      </w:r>
      <w:r>
        <w:t xml:space="preserve"> </w:t>
      </w:r>
      <w:r w:rsidRPr="0026142D">
        <w:t>Отчет ФГУП «Крыловский государственный научный центр», 2012</w:t>
      </w:r>
    </w:p>
  </w:footnote>
  <w:footnote w:id="2">
    <w:p w:rsidR="00096CF6" w:rsidRPr="00D9205D" w:rsidRDefault="00096CF6" w:rsidP="00096CF6">
      <w:pPr>
        <w:pStyle w:val="ab"/>
      </w:pPr>
      <w:r w:rsidRPr="00D9205D">
        <w:rPr>
          <w:rStyle w:val="aa"/>
        </w:rPr>
        <w:footnoteRef/>
      </w:r>
      <w:r w:rsidRPr="00D9205D">
        <w:t xml:space="preserve"> Краткая характеристика основных судоходных компаний приведена в Приложении </w:t>
      </w:r>
      <w:r>
        <w:rPr>
          <w:lang w:val="ru-RU"/>
        </w:rPr>
        <w:t>3</w:t>
      </w:r>
      <w:r w:rsidRPr="00D9205D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988424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26528A" w:rsidRPr="0026528A" w:rsidRDefault="0026528A" w:rsidP="0026528A">
        <w:pPr>
          <w:pStyle w:val="af"/>
          <w:jc w:val="center"/>
          <w:rPr>
            <w:rFonts w:ascii="Times New Roman" w:hAnsi="Times New Roman"/>
          </w:rPr>
        </w:pPr>
        <w:r w:rsidRPr="0026528A">
          <w:rPr>
            <w:rFonts w:ascii="Times New Roman" w:hAnsi="Times New Roman"/>
          </w:rPr>
          <w:fldChar w:fldCharType="begin"/>
        </w:r>
        <w:r w:rsidRPr="0026528A">
          <w:rPr>
            <w:rFonts w:ascii="Times New Roman" w:hAnsi="Times New Roman"/>
          </w:rPr>
          <w:instrText>PAGE   \* MERGEFORMAT</w:instrText>
        </w:r>
        <w:r w:rsidRPr="0026528A">
          <w:rPr>
            <w:rFonts w:ascii="Times New Roman" w:hAnsi="Times New Roman"/>
          </w:rPr>
          <w:fldChar w:fldCharType="separate"/>
        </w:r>
        <w:r w:rsidR="00992866">
          <w:rPr>
            <w:rFonts w:ascii="Times New Roman" w:hAnsi="Times New Roman"/>
            <w:noProof/>
          </w:rPr>
          <w:t>391</w:t>
        </w:r>
        <w:r w:rsidRPr="0026528A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7785B"/>
    <w:multiLevelType w:val="hybridMultilevel"/>
    <w:tmpl w:val="017E8D3C"/>
    <w:lvl w:ilvl="0" w:tplc="A644E81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A057E"/>
    <w:multiLevelType w:val="hybridMultilevel"/>
    <w:tmpl w:val="9F864F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D013A"/>
    <w:multiLevelType w:val="hybridMultilevel"/>
    <w:tmpl w:val="4B08DEA6"/>
    <w:lvl w:ilvl="0" w:tplc="35E4C9B8">
      <w:start w:val="1"/>
      <w:numFmt w:val="decimal"/>
      <w:lvlText w:val="%1."/>
      <w:lvlJc w:val="left"/>
      <w:pPr>
        <w:ind w:left="1644" w:hanging="93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97" w:hanging="360"/>
      </w:pPr>
    </w:lvl>
    <w:lvl w:ilvl="2" w:tplc="0419001B">
      <w:start w:val="1"/>
      <w:numFmt w:val="lowerRoman"/>
      <w:lvlText w:val="%3."/>
      <w:lvlJc w:val="right"/>
      <w:pPr>
        <w:ind w:left="2517" w:hanging="180"/>
      </w:pPr>
    </w:lvl>
    <w:lvl w:ilvl="3" w:tplc="0419000F">
      <w:start w:val="1"/>
      <w:numFmt w:val="decimal"/>
      <w:lvlText w:val="%4."/>
      <w:lvlJc w:val="left"/>
      <w:pPr>
        <w:ind w:left="3237" w:hanging="360"/>
      </w:pPr>
    </w:lvl>
    <w:lvl w:ilvl="4" w:tplc="04190019">
      <w:start w:val="1"/>
      <w:numFmt w:val="lowerLetter"/>
      <w:lvlText w:val="%5."/>
      <w:lvlJc w:val="left"/>
      <w:pPr>
        <w:ind w:left="3957" w:hanging="360"/>
      </w:pPr>
    </w:lvl>
    <w:lvl w:ilvl="5" w:tplc="0419001B">
      <w:start w:val="1"/>
      <w:numFmt w:val="lowerRoman"/>
      <w:lvlText w:val="%6."/>
      <w:lvlJc w:val="right"/>
      <w:pPr>
        <w:ind w:left="4677" w:hanging="180"/>
      </w:pPr>
    </w:lvl>
    <w:lvl w:ilvl="6" w:tplc="0419000F">
      <w:start w:val="1"/>
      <w:numFmt w:val="decimal"/>
      <w:lvlText w:val="%7."/>
      <w:lvlJc w:val="left"/>
      <w:pPr>
        <w:ind w:left="5397" w:hanging="360"/>
      </w:pPr>
    </w:lvl>
    <w:lvl w:ilvl="7" w:tplc="04190019">
      <w:start w:val="1"/>
      <w:numFmt w:val="lowerLetter"/>
      <w:lvlText w:val="%8."/>
      <w:lvlJc w:val="left"/>
      <w:pPr>
        <w:ind w:left="6117" w:hanging="360"/>
      </w:pPr>
    </w:lvl>
    <w:lvl w:ilvl="8" w:tplc="0419001B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255F77DC"/>
    <w:multiLevelType w:val="hybridMultilevel"/>
    <w:tmpl w:val="F5042776"/>
    <w:lvl w:ilvl="0" w:tplc="4E8CC15C">
      <w:start w:val="1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0127D"/>
    <w:multiLevelType w:val="hybridMultilevel"/>
    <w:tmpl w:val="06845FBE"/>
    <w:lvl w:ilvl="0" w:tplc="4E8CC15C">
      <w:start w:val="1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87F90"/>
    <w:multiLevelType w:val="multilevel"/>
    <w:tmpl w:val="CB4826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71165F4"/>
    <w:multiLevelType w:val="hybridMultilevel"/>
    <w:tmpl w:val="2DD6D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15378"/>
    <w:multiLevelType w:val="hybridMultilevel"/>
    <w:tmpl w:val="1870F800"/>
    <w:lvl w:ilvl="0" w:tplc="A0F41EB2"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E6"/>
    <w:rsid w:val="00076E8B"/>
    <w:rsid w:val="00096CF6"/>
    <w:rsid w:val="000B25EE"/>
    <w:rsid w:val="000C58D4"/>
    <w:rsid w:val="000E1447"/>
    <w:rsid w:val="00121D04"/>
    <w:rsid w:val="00142536"/>
    <w:rsid w:val="0020211C"/>
    <w:rsid w:val="002166A7"/>
    <w:rsid w:val="00231253"/>
    <w:rsid w:val="0026528A"/>
    <w:rsid w:val="002E4B85"/>
    <w:rsid w:val="002F6950"/>
    <w:rsid w:val="003166E0"/>
    <w:rsid w:val="0033729E"/>
    <w:rsid w:val="00366F45"/>
    <w:rsid w:val="0042364B"/>
    <w:rsid w:val="0043226E"/>
    <w:rsid w:val="004373E6"/>
    <w:rsid w:val="00491CF2"/>
    <w:rsid w:val="004934A9"/>
    <w:rsid w:val="004E673D"/>
    <w:rsid w:val="00512D5C"/>
    <w:rsid w:val="005406F2"/>
    <w:rsid w:val="00552260"/>
    <w:rsid w:val="005774F0"/>
    <w:rsid w:val="005A0419"/>
    <w:rsid w:val="00660FB4"/>
    <w:rsid w:val="006923E8"/>
    <w:rsid w:val="006E6378"/>
    <w:rsid w:val="00731FE1"/>
    <w:rsid w:val="007419BD"/>
    <w:rsid w:val="00792FBF"/>
    <w:rsid w:val="0079445D"/>
    <w:rsid w:val="008035A1"/>
    <w:rsid w:val="008134C2"/>
    <w:rsid w:val="008D2A04"/>
    <w:rsid w:val="008E7A4D"/>
    <w:rsid w:val="008F5C9B"/>
    <w:rsid w:val="00952CAA"/>
    <w:rsid w:val="0097504A"/>
    <w:rsid w:val="00992866"/>
    <w:rsid w:val="009E331D"/>
    <w:rsid w:val="00A32AFC"/>
    <w:rsid w:val="00A73319"/>
    <w:rsid w:val="00AC6F75"/>
    <w:rsid w:val="00B32747"/>
    <w:rsid w:val="00B81E61"/>
    <w:rsid w:val="00B90585"/>
    <w:rsid w:val="00BC2AA9"/>
    <w:rsid w:val="00C039E3"/>
    <w:rsid w:val="00C901CA"/>
    <w:rsid w:val="00C927DF"/>
    <w:rsid w:val="00CB0DD5"/>
    <w:rsid w:val="00CD6C2A"/>
    <w:rsid w:val="00D5043C"/>
    <w:rsid w:val="00DB2923"/>
    <w:rsid w:val="00E0671A"/>
    <w:rsid w:val="00E3631A"/>
    <w:rsid w:val="00E635EA"/>
    <w:rsid w:val="00E646CA"/>
    <w:rsid w:val="00E7184C"/>
    <w:rsid w:val="00EF1531"/>
    <w:rsid w:val="00F178A3"/>
    <w:rsid w:val="00FD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310746-76B7-42FB-B111-FA3676752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373E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1 заголовок"/>
    <w:basedOn w:val="a1"/>
    <w:next w:val="a0"/>
    <w:link w:val="10"/>
    <w:qFormat/>
    <w:rsid w:val="006E6378"/>
    <w:pPr>
      <w:ind w:left="360" w:hanging="360"/>
      <w:jc w:val="both"/>
      <w:outlineLvl w:val="0"/>
    </w:pPr>
    <w:rPr>
      <w:rFonts w:ascii="Times New Roman" w:eastAsiaTheme="minorHAnsi" w:hAnsi="Times New Roman" w:cstheme="minorBidi"/>
      <w:b/>
      <w:sz w:val="32"/>
      <w:lang w:eastAsia="en-US"/>
    </w:rPr>
  </w:style>
  <w:style w:type="paragraph" w:styleId="2">
    <w:name w:val="heading 2"/>
    <w:aliases w:val="2 Заголовок"/>
    <w:basedOn w:val="a0"/>
    <w:next w:val="a0"/>
    <w:link w:val="20"/>
    <w:autoRedefine/>
    <w:unhideWhenUsed/>
    <w:qFormat/>
    <w:rsid w:val="00DB2923"/>
    <w:pPr>
      <w:keepNext/>
      <w:shd w:val="clear" w:color="auto" w:fill="FFFFFF"/>
      <w:tabs>
        <w:tab w:val="left" w:pos="0"/>
      </w:tabs>
      <w:snapToGrid w:val="0"/>
      <w:spacing w:before="120" w:after="0"/>
      <w:ind w:left="-142" w:firstLine="142"/>
      <w:contextualSpacing/>
      <w:outlineLvl w:val="1"/>
    </w:pPr>
    <w:rPr>
      <w:rFonts w:ascii="Times New Roman" w:eastAsia="MS Mincho" w:hAnsi="Times New Roman"/>
      <w:b/>
      <w:sz w:val="24"/>
      <w:szCs w:val="24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4373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qFormat/>
    <w:rsid w:val="00DB2923"/>
    <w:pPr>
      <w:spacing w:before="120" w:after="0"/>
      <w:ind w:firstLine="709"/>
      <w:jc w:val="both"/>
    </w:pPr>
    <w:rPr>
      <w:rFonts w:ascii="Times New Roman" w:eastAsia="MS Mincho" w:hAnsi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2"/>
    <w:link w:val="a5"/>
    <w:uiPriority w:val="99"/>
    <w:rsid w:val="00DB2923"/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aliases w:val="2 Заголовок Знак"/>
    <w:basedOn w:val="a2"/>
    <w:link w:val="2"/>
    <w:rsid w:val="00DB2923"/>
    <w:rPr>
      <w:rFonts w:ascii="Times New Roman" w:eastAsia="MS Mincho" w:hAnsi="Times New Roman" w:cs="Times New Roman"/>
      <w:b/>
      <w:sz w:val="24"/>
      <w:szCs w:val="24"/>
      <w:shd w:val="clear" w:color="auto" w:fill="FFFFFF"/>
      <w:lang w:val="x-none" w:eastAsia="x-none"/>
    </w:rPr>
  </w:style>
  <w:style w:type="paragraph" w:customStyle="1" w:styleId="a">
    <w:name w:val="Списки"/>
    <w:basedOn w:val="a1"/>
    <w:link w:val="a7"/>
    <w:qFormat/>
    <w:rsid w:val="00DB2923"/>
    <w:pPr>
      <w:numPr>
        <w:numId w:val="1"/>
      </w:numPr>
      <w:spacing w:before="120" w:after="0"/>
      <w:jc w:val="both"/>
    </w:pPr>
    <w:rPr>
      <w:rFonts w:ascii="Times New Roman" w:hAnsi="Times New Roman"/>
      <w:sz w:val="24"/>
      <w:shd w:val="clear" w:color="auto" w:fill="FFFFFF"/>
      <w:lang w:val="x-none" w:eastAsia="x-none"/>
    </w:rPr>
  </w:style>
  <w:style w:type="character" w:customStyle="1" w:styleId="a7">
    <w:name w:val="Списки Знак"/>
    <w:link w:val="a"/>
    <w:rsid w:val="00DB2923"/>
    <w:rPr>
      <w:rFonts w:ascii="Times New Roman" w:eastAsia="Times New Roman" w:hAnsi="Times New Roman" w:cs="Times New Roman"/>
      <w:sz w:val="24"/>
      <w:lang w:val="x-none" w:eastAsia="x-none"/>
    </w:rPr>
  </w:style>
  <w:style w:type="paragraph" w:styleId="a1">
    <w:name w:val="List Paragraph"/>
    <w:basedOn w:val="a0"/>
    <w:link w:val="a8"/>
    <w:uiPriority w:val="34"/>
    <w:qFormat/>
    <w:rsid w:val="00DB2923"/>
    <w:pPr>
      <w:ind w:left="720"/>
      <w:contextualSpacing/>
    </w:pPr>
  </w:style>
  <w:style w:type="character" w:customStyle="1" w:styleId="10">
    <w:name w:val="Заголовок 1 Знак"/>
    <w:aliases w:val="1 заголовок Знак"/>
    <w:basedOn w:val="a2"/>
    <w:link w:val="1"/>
    <w:rsid w:val="006E6378"/>
    <w:rPr>
      <w:rFonts w:ascii="Times New Roman" w:hAnsi="Times New Roman"/>
      <w:b/>
      <w:sz w:val="32"/>
    </w:rPr>
  </w:style>
  <w:style w:type="character" w:customStyle="1" w:styleId="a8">
    <w:name w:val="Абзац списка Знак"/>
    <w:link w:val="a1"/>
    <w:uiPriority w:val="34"/>
    <w:locked/>
    <w:rsid w:val="006E6378"/>
    <w:rPr>
      <w:rFonts w:ascii="Calibri" w:eastAsia="Times New Roman" w:hAnsi="Calibri" w:cs="Times New Roman"/>
      <w:lang w:eastAsia="ru-RU"/>
    </w:rPr>
  </w:style>
  <w:style w:type="paragraph" w:customStyle="1" w:styleId="4">
    <w:name w:val="Основной текст4"/>
    <w:basedOn w:val="a0"/>
    <w:link w:val="a9"/>
    <w:rsid w:val="0033729E"/>
    <w:pPr>
      <w:widowControl w:val="0"/>
      <w:shd w:val="clear" w:color="auto" w:fill="FFFFFF"/>
      <w:spacing w:after="240" w:line="0" w:lineRule="atLeast"/>
      <w:jc w:val="both"/>
    </w:pPr>
    <w:rPr>
      <w:rFonts w:ascii="Times New Roman" w:hAnsi="Times New Roman"/>
      <w:spacing w:val="10"/>
      <w:sz w:val="23"/>
      <w:szCs w:val="23"/>
      <w:lang w:eastAsia="en-US"/>
    </w:rPr>
  </w:style>
  <w:style w:type="character" w:customStyle="1" w:styleId="a9">
    <w:name w:val="Основной текст_"/>
    <w:basedOn w:val="a2"/>
    <w:link w:val="4"/>
    <w:rsid w:val="0033729E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11">
    <w:name w:val="Основной текст11"/>
    <w:rsid w:val="00096CF6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styleId="aa">
    <w:name w:val="footnote reference"/>
    <w:aliases w:val="Знак сноски-FN,Знак сноски 1,Ciae niinee-FN,SUPERS,Referencia nota al pie,fr,Used by Word for Help footnote symbols,Стиль Знак сноски,Ссылка на сноску 45,Appel note de bas de page + 1...,Appel note de bas de page"/>
    <w:uiPriority w:val="99"/>
    <w:semiHidden/>
    <w:rsid w:val="00096CF6"/>
    <w:rPr>
      <w:vertAlign w:val="superscript"/>
    </w:rPr>
  </w:style>
  <w:style w:type="paragraph" w:customStyle="1" w:styleId="ab">
    <w:name w:val="сноска"/>
    <w:basedOn w:val="ac"/>
    <w:link w:val="ad"/>
    <w:qFormat/>
    <w:rsid w:val="00096CF6"/>
    <w:pPr>
      <w:suppressAutoHyphens/>
      <w:spacing w:before="60" w:line="288" w:lineRule="auto"/>
      <w:contextualSpacing/>
      <w:jc w:val="both"/>
    </w:pPr>
    <w:rPr>
      <w:rFonts w:ascii="Times New Roman" w:hAnsi="Times New Roman"/>
      <w:lang w:val="x-none" w:eastAsia="x-none"/>
    </w:rPr>
  </w:style>
  <w:style w:type="character" w:customStyle="1" w:styleId="ad">
    <w:name w:val="сноска Знак"/>
    <w:link w:val="ab"/>
    <w:rsid w:val="00096CF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c">
    <w:name w:val="footnote text"/>
    <w:basedOn w:val="a0"/>
    <w:link w:val="ae"/>
    <w:uiPriority w:val="99"/>
    <w:semiHidden/>
    <w:unhideWhenUsed/>
    <w:rsid w:val="00096CF6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2"/>
    <w:link w:val="ac"/>
    <w:uiPriority w:val="99"/>
    <w:semiHidden/>
    <w:rsid w:val="00096CF6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2">
    <w:name w:val="1. Таблица"/>
    <w:basedOn w:val="a0"/>
    <w:link w:val="13"/>
    <w:qFormat/>
    <w:rsid w:val="00096CF6"/>
    <w:pPr>
      <w:keepNext/>
      <w:suppressAutoHyphens/>
      <w:spacing w:before="120" w:after="0" w:line="240" w:lineRule="auto"/>
      <w:ind w:firstLine="720"/>
      <w:contextualSpacing/>
      <w:jc w:val="right"/>
    </w:pPr>
    <w:rPr>
      <w:rFonts w:ascii="Times New Roman" w:hAnsi="Times New Roman"/>
      <w:b/>
      <w:bCs/>
      <w:i/>
      <w:sz w:val="20"/>
      <w:szCs w:val="24"/>
      <w:lang w:val="x-none" w:eastAsia="x-none"/>
    </w:rPr>
  </w:style>
  <w:style w:type="character" w:customStyle="1" w:styleId="13">
    <w:name w:val="1. Таблица Знак"/>
    <w:basedOn w:val="a2"/>
    <w:link w:val="12"/>
    <w:rsid w:val="00096CF6"/>
    <w:rPr>
      <w:rFonts w:ascii="Times New Roman" w:eastAsia="Times New Roman" w:hAnsi="Times New Roman" w:cs="Times New Roman"/>
      <w:b/>
      <w:bCs/>
      <w:i/>
      <w:sz w:val="20"/>
      <w:szCs w:val="24"/>
      <w:lang w:val="x-none" w:eastAsia="x-none"/>
    </w:rPr>
  </w:style>
  <w:style w:type="paragraph" w:styleId="af">
    <w:name w:val="header"/>
    <w:basedOn w:val="a0"/>
    <w:link w:val="af0"/>
    <w:uiPriority w:val="99"/>
    <w:unhideWhenUsed/>
    <w:rsid w:val="00265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26528A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0"/>
    <w:link w:val="af2"/>
    <w:uiPriority w:val="99"/>
    <w:unhideWhenUsed/>
    <w:rsid w:val="00265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26528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4364</Words>
  <Characters>24880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Ivan Malyshev</cp:lastModifiedBy>
  <cp:revision>3</cp:revision>
  <dcterms:created xsi:type="dcterms:W3CDTF">2018-12-06T07:31:00Z</dcterms:created>
  <dcterms:modified xsi:type="dcterms:W3CDTF">2018-12-17T07:49:00Z</dcterms:modified>
</cp:coreProperties>
</file>